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版本号：SXCFY20251101.1B220260104001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购置吸污疏通两用车(三次)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SXCFY20251101.1B2</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购置吸污疏通两用车(三次)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SXCFY20251101.1B2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购置吸污疏通两用车(三次)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蒲城县城市管理执法局购置吸污疏通两用车一辆，满足日常城区管道疏通、吸污，确保管网正常运行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蒲城县南环路西段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0913-7212455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阮旭静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吸污疏通两用车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开户银行：中信银行股份有限公司西安咸宁路支行（投标人缴纳保证金时，请备注“SXCFY20251101投标保证金”</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代理服务费收费标准：参照国家发展和改革委员会办公厅颁发的 《关于招标代理服务费收费有关问题的通知》（发改办价格〔2003〕857号）及《调整后的招标代理服务收费标准》(发改价格〔2011〕 534 号)的规定。 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蒲城县城市管理执法局购置吸污疏通两用车项目，满足日常城区管道疏通、吸污，确保管网正常运行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吸污疏通两用车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标的名称：吸污疏通两用车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FFFFFF"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整车</w:t>
                  </w:r>
                </w:p>
              </w:tc>
              <w:tc>
                <w:tcPr>
                  <w:tcW w:type="dxa" w:w="1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kg</w:t>
                  </w:r>
                  <w:r>
                    <w:rPr>
                      <w:rFonts w:ascii="仿宋_GB2312" w:hAnsi="仿宋_GB2312" w:cs="仿宋_GB2312" w:eastAsia="仿宋_GB2312"/>
                      <w:sz w:val="24"/>
                    </w:rPr>
                    <w:t>）</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18000（±500）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≥5</w:t>
                  </w:r>
                  <w:r>
                    <w:rPr>
                      <w:rFonts w:ascii="仿宋_GB2312" w:hAnsi="仿宋_GB2312" w:cs="仿宋_GB2312" w:eastAsia="仿宋_GB2312"/>
                      <w:sz w:val="24"/>
                    </w:rPr>
                    <w:t>80</w:t>
                  </w:r>
                  <w:r>
                    <w:rPr>
                      <w:rFonts w:ascii="仿宋_GB2312" w:hAnsi="仿宋_GB2312" w:cs="仿宋_GB2312" w:eastAsia="仿宋_GB2312"/>
                      <w:sz w:val="24"/>
                    </w:rPr>
                    <w:t>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整备质量</w:t>
                  </w:r>
                  <w:r>
                    <w:rPr>
                      <w:rFonts w:ascii="仿宋_GB2312" w:hAnsi="仿宋_GB2312" w:cs="仿宋_GB2312" w:eastAsia="仿宋_GB2312"/>
                      <w:sz w:val="24"/>
                    </w:rPr>
                    <w:t>（</w:t>
                  </w:r>
                  <w:r>
                    <w:rPr>
                      <w:rFonts w:ascii="仿宋_GB2312" w:hAnsi="仿宋_GB2312" w:cs="仿宋_GB2312" w:eastAsia="仿宋_GB2312"/>
                      <w:sz w:val="24"/>
                    </w:rPr>
                    <w:t>kg</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≥12000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外型尺寸</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w:t>
                  </w:r>
                  <w:r>
                    <w:rPr>
                      <w:rFonts w:ascii="仿宋_GB2312" w:hAnsi="仿宋_GB2312" w:cs="仿宋_GB2312" w:eastAsia="仿宋_GB2312"/>
                      <w:sz w:val="24"/>
                    </w:rPr>
                    <w:t>89</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2550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≥4700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接近角</w:t>
                  </w:r>
                  <w:r>
                    <w:rPr>
                      <w:rFonts w:ascii="仿宋_GB2312" w:hAnsi="仿宋_GB2312" w:cs="仿宋_GB2312" w:eastAsia="仿宋_GB2312"/>
                      <w:sz w:val="24"/>
                    </w:rPr>
                    <w:t>/</w:t>
                  </w:r>
                  <w:r>
                    <w:rPr>
                      <w:rFonts w:ascii="仿宋_GB2312" w:hAnsi="仿宋_GB2312" w:cs="仿宋_GB2312" w:eastAsia="仿宋_GB2312"/>
                      <w:sz w:val="24"/>
                    </w:rPr>
                    <w:t>离去角</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w:t>
                  </w:r>
                  <w:r>
                    <w:rPr>
                      <w:rFonts w:ascii="仿宋_GB2312" w:hAnsi="仿宋_GB2312" w:cs="仿宋_GB2312" w:eastAsia="仿宋_GB2312"/>
                      <w:sz w:val="24"/>
                    </w:rPr>
                    <w:t>17/11</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后防护最小离地距离</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w:t>
                  </w:r>
                  <w:r>
                    <w:rPr>
                      <w:rFonts w:ascii="仿宋_GB2312" w:hAnsi="仿宋_GB2312" w:cs="仿宋_GB2312" w:eastAsia="仿宋_GB2312"/>
                      <w:sz w:val="24"/>
                    </w:rPr>
                    <w:t>450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最高车速</w:t>
                  </w:r>
                  <w:r>
                    <w:rPr>
                      <w:rFonts w:ascii="仿宋_GB2312" w:hAnsi="仿宋_GB2312" w:cs="仿宋_GB2312" w:eastAsia="仿宋_GB2312"/>
                      <w:sz w:val="24"/>
                    </w:rPr>
                    <w:t>(</w:t>
                  </w:r>
                  <w:r>
                    <w:rPr>
                      <w:rFonts w:ascii="仿宋_GB2312" w:hAnsi="仿宋_GB2312" w:cs="仿宋_GB2312" w:eastAsia="仿宋_GB2312"/>
                      <w:sz w:val="24"/>
                    </w:rPr>
                    <w:t>km/h</w:t>
                  </w:r>
                  <w:r>
                    <w:rPr>
                      <w:rFonts w:ascii="仿宋_GB2312" w:hAnsi="仿宋_GB2312" w:cs="仿宋_GB2312" w:eastAsia="仿宋_GB2312"/>
                      <w:sz w:val="24"/>
                    </w:rPr>
                    <w:t>)</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1"/>
                    </w:rPr>
                    <w:t xml:space="preserve"> </w:t>
                  </w:r>
                  <w:r>
                    <w:rPr>
                      <w:rFonts w:ascii="仿宋_GB2312" w:hAnsi="仿宋_GB2312" w:cs="仿宋_GB2312" w:eastAsia="仿宋_GB2312"/>
                      <w:sz w:val="24"/>
                    </w:rPr>
                    <w:t>≥89</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驾驶室</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45" w:right="165"/>
                    <w:jc w:val="both"/>
                  </w:pPr>
                  <w:r>
                    <w:rPr>
                      <w:rFonts w:ascii="仿宋_GB2312" w:hAnsi="仿宋_GB2312" w:cs="仿宋_GB2312" w:eastAsia="仿宋_GB2312"/>
                      <w:sz w:val="24"/>
                    </w:rPr>
                    <w:t>驾驶室额定乘员数量</w:t>
                  </w:r>
                  <w:r>
                    <w:rPr>
                      <w:rFonts w:ascii="仿宋_GB2312" w:hAnsi="仿宋_GB2312" w:cs="仿宋_GB2312" w:eastAsia="仿宋_GB2312"/>
                      <w:sz w:val="24"/>
                    </w:rPr>
                    <w:t>≥2人，驾驶室配空调</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免征</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firstLine="40"/>
                    <w:jc w:val="both"/>
                  </w:pPr>
                  <w:r>
                    <w:rPr>
                      <w:rFonts w:ascii="仿宋_GB2312" w:hAnsi="仿宋_GB2312" w:cs="仿宋_GB2312" w:eastAsia="仿宋_GB2312"/>
                      <w:sz w:val="24"/>
                    </w:rPr>
                    <w:t>带免征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4"/>
                    </w:rPr>
                    <w:t>发动机</w:t>
                  </w:r>
                </w:p>
              </w:tc>
              <w:tc>
                <w:tcPr>
                  <w:tcW w:type="dxa" w:w="1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firstLine="60"/>
                    <w:jc w:val="both"/>
                  </w:pPr>
                  <w:r>
                    <w:rPr>
                      <w:rFonts w:ascii="仿宋_GB2312" w:hAnsi="仿宋_GB2312" w:cs="仿宋_GB2312" w:eastAsia="仿宋_GB2312"/>
                      <w:sz w:val="24"/>
                    </w:rPr>
                    <w:t>排放标准</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jc w:val="both"/>
                  </w:pPr>
                  <w:r>
                    <w:rPr>
                      <w:rFonts w:ascii="仿宋_GB2312" w:hAnsi="仿宋_GB2312" w:cs="仿宋_GB2312" w:eastAsia="仿宋_GB2312"/>
                      <w:sz w:val="21"/>
                    </w:rPr>
                    <w:t xml:space="preserve"> </w:t>
                  </w:r>
                  <w:r>
                    <w:rPr>
                      <w:rFonts w:ascii="仿宋_GB2312" w:hAnsi="仿宋_GB2312" w:cs="仿宋_GB2312" w:eastAsia="仿宋_GB2312"/>
                      <w:sz w:val="24"/>
                    </w:rPr>
                    <w:t>国六排放标准</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k</w:t>
                  </w:r>
                  <w:r>
                    <w:rPr>
                      <w:rFonts w:ascii="仿宋_GB2312" w:hAnsi="仿宋_GB2312" w:cs="仿宋_GB2312" w:eastAsia="仿宋_GB2312"/>
                      <w:sz w:val="24"/>
                    </w:rPr>
                    <w:t>W）</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0</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燃油种类</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firstLine="40"/>
                    <w:jc w:val="both"/>
                  </w:pPr>
                  <w:r>
                    <w:rPr>
                      <w:rFonts w:ascii="仿宋_GB2312" w:hAnsi="仿宋_GB2312" w:cs="仿宋_GB2312" w:eastAsia="仿宋_GB2312"/>
                      <w:sz w:val="24"/>
                    </w:rPr>
                    <w:t>柴油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罐体</w:t>
                  </w:r>
                </w:p>
              </w:tc>
              <w:tc>
                <w:tcPr>
                  <w:tcW w:type="dxa" w:w="1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firstLine="100"/>
                    <w:jc w:val="both"/>
                  </w:pPr>
                  <w:r>
                    <w:rPr>
                      <w:rFonts w:ascii="仿宋_GB2312" w:hAnsi="仿宋_GB2312" w:cs="仿宋_GB2312" w:eastAsia="仿宋_GB2312"/>
                      <w:sz w:val="24"/>
                    </w:rPr>
                    <w:t>污水罐有效容积（</w:t>
                  </w:r>
                  <w:r>
                    <w:rPr>
                      <w:rFonts w:ascii="仿宋_GB2312" w:hAnsi="仿宋_GB2312" w:cs="仿宋_GB2312" w:eastAsia="仿宋_GB2312"/>
                      <w:sz w:val="24"/>
                    </w:rPr>
                    <w:t>m3）</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≥6</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清水罐有效容积（</w:t>
                  </w:r>
                  <w:r>
                    <w:rPr>
                      <w:rFonts w:ascii="仿宋_GB2312" w:hAnsi="仿宋_GB2312" w:cs="仿宋_GB2312" w:eastAsia="仿宋_GB2312"/>
                      <w:sz w:val="24"/>
                    </w:rPr>
                    <w:t>m3）</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≥7</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罐体厚度</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≥8mm</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罐体材质</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优质碳钢</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设计压力</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全真空</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系统最大真空度（</w:t>
                  </w:r>
                  <w:r>
                    <w:rPr>
                      <w:rFonts w:ascii="仿宋_GB2312" w:hAnsi="仿宋_GB2312" w:cs="仿宋_GB2312" w:eastAsia="仿宋_GB2312"/>
                      <w:sz w:val="24"/>
                    </w:rPr>
                    <w:t>Mpa）</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≤-0.092Mpa</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满载自动保护装置</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4"/>
                    </w:rPr>
                    <w:t>液位过载保护、自动防溢保护</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罐体举升</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ind w:left="60" w:right="135"/>
                    <w:jc w:val="both"/>
                  </w:pPr>
                  <w:r>
                    <w:rPr>
                      <w:rFonts w:ascii="仿宋_GB2312" w:hAnsi="仿宋_GB2312" w:cs="仿宋_GB2312" w:eastAsia="仿宋_GB2312"/>
                      <w:sz w:val="24"/>
                    </w:rPr>
                    <w:t>罐体在任意位置进行上、下作业，工作角度最大为</w:t>
                  </w:r>
                  <w:r>
                    <w:rPr>
                      <w:rFonts w:ascii="仿宋_GB2312" w:hAnsi="仿宋_GB2312" w:cs="仿宋_GB2312" w:eastAsia="仿宋_GB2312"/>
                      <w:sz w:val="24"/>
                    </w:rPr>
                    <w:t>40°，可以快速排放污水</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后盖开启</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大后盖开启</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罐体顶部</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罐体顶部加空气互通，实现前仓自吸水，罐体上部带人行平台</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罐体底部</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罐体底部具有不锈钢内衬，高压水仓和污水仓各带不锈钢爬梯</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罐体两侧</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罐体两侧加宽，</w:t>
                  </w:r>
                  <w:r>
                    <w:rPr>
                      <w:rFonts w:ascii="仿宋_GB2312" w:hAnsi="仿宋_GB2312" w:cs="仿宋_GB2312" w:eastAsia="仿宋_GB2312"/>
                      <w:sz w:val="24"/>
                    </w:rPr>
                    <w:t xml:space="preserve">6mm </w:t>
                  </w:r>
                  <w:r>
                    <w:rPr>
                      <w:rFonts w:ascii="仿宋_GB2312" w:hAnsi="仿宋_GB2312" w:cs="仿宋_GB2312" w:eastAsia="仿宋_GB2312"/>
                      <w:sz w:val="24"/>
                    </w:rPr>
                    <w:t>以上加强型保险杠，带有工具箱，分上下两层</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吸污部分</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加大防溢阀（可拆卸，三分钟快速清洗滤网），尾部加装泄压阀</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配件</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4"/>
                    </w:rPr>
                    <w:t>高压水仓与污水仓用</w:t>
                  </w:r>
                  <w:r>
                    <w:rPr>
                      <w:rFonts w:ascii="仿宋_GB2312" w:hAnsi="仿宋_GB2312" w:cs="仿宋_GB2312" w:eastAsia="仿宋_GB2312"/>
                      <w:sz w:val="24"/>
                    </w:rPr>
                    <w:t>DN100 铝合金球阀互通，法兰用不锈钢螺丝连接，用水泥密封罐口</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真空泵</w:t>
                  </w:r>
                </w:p>
              </w:tc>
              <w:tc>
                <w:tcPr>
                  <w:tcW w:type="dxa" w:w="1030"/>
                  <w:tcBorders>
                    <w:top w:val="single" w:color="000000" w:sz="4"/>
                    <w:left w:val="none" w:color="000000" w:sz="4"/>
                    <w:bottom w:val="single" w:color="FFFFFF" w:sz="4"/>
                    <w:right w:val="single" w:color="000000" w:sz="4"/>
                  </w:tcBorders>
                  <w:tcMar>
                    <w:top w:type="dxa" w:w="0"/>
                    <w:left w:type="dxa" w:w="0"/>
                    <w:bottom w:type="dxa" w:w="0"/>
                    <w:right w:type="dxa" w:w="0"/>
                  </w:tcMar>
                  <w:vAlign w:val="top"/>
                </w:tcPr>
                <w:p>
                  <w:pPr>
                    <w:pStyle w:val="null3"/>
                    <w:ind w:firstLine="60"/>
                    <w:jc w:val="both"/>
                  </w:pPr>
                  <w:r>
                    <w:rPr>
                      <w:rFonts w:ascii="仿宋_GB2312" w:hAnsi="仿宋_GB2312" w:cs="仿宋_GB2312" w:eastAsia="仿宋_GB2312"/>
                      <w:sz w:val="21"/>
                    </w:rPr>
                    <w:t xml:space="preserve"> </w:t>
                  </w:r>
                  <w:r>
                    <w:rPr>
                      <w:rFonts w:ascii="仿宋_GB2312" w:hAnsi="仿宋_GB2312" w:cs="仿宋_GB2312" w:eastAsia="仿宋_GB2312"/>
                      <w:sz w:val="24"/>
                    </w:rPr>
                    <w:t>真空泵功率</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≥75k</w:t>
                  </w:r>
                  <w:r>
                    <w:rPr>
                      <w:rFonts w:ascii="仿宋_GB2312" w:hAnsi="仿宋_GB2312" w:cs="仿宋_GB2312" w:eastAsia="仿宋_GB2312"/>
                      <w:sz w:val="24"/>
                    </w:rPr>
                    <w:t>W</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最大抽气量（</w:t>
                  </w:r>
                  <w:r>
                    <w:rPr>
                      <w:rFonts w:ascii="仿宋_GB2312" w:hAnsi="仿宋_GB2312" w:cs="仿宋_GB2312" w:eastAsia="仿宋_GB2312"/>
                      <w:sz w:val="24"/>
                    </w:rPr>
                    <w:t>m3/h）</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≥2800</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吸程</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00"/>
                    <w:jc w:val="both"/>
                  </w:pPr>
                  <w:r>
                    <w:rPr>
                      <w:rFonts w:ascii="仿宋_GB2312" w:hAnsi="仿宋_GB2312" w:cs="仿宋_GB2312" w:eastAsia="仿宋_GB2312"/>
                      <w:sz w:val="24"/>
                    </w:rPr>
                    <w:t>有效垂直吸程</w:t>
                  </w:r>
                  <w:r>
                    <w:rPr>
                      <w:rFonts w:ascii="仿宋_GB2312" w:hAnsi="仿宋_GB2312" w:cs="仿宋_GB2312" w:eastAsia="仿宋_GB2312"/>
                      <w:sz w:val="24"/>
                    </w:rPr>
                    <w:t>≥</w:t>
                  </w:r>
                  <w:r>
                    <w:rPr>
                      <w:rFonts w:ascii="仿宋_GB2312" w:hAnsi="仿宋_GB2312" w:cs="仿宋_GB2312" w:eastAsia="仿宋_GB2312"/>
                      <w:sz w:val="24"/>
                    </w:rPr>
                    <w:t>10m，水平吸程</w:t>
                  </w:r>
                  <w:r>
                    <w:rPr>
                      <w:rFonts w:ascii="仿宋_GB2312" w:hAnsi="仿宋_GB2312" w:cs="仿宋_GB2312" w:eastAsia="仿宋_GB2312"/>
                      <w:sz w:val="24"/>
                    </w:rPr>
                    <w:t>≥</w:t>
                  </w:r>
                  <w:r>
                    <w:rPr>
                      <w:rFonts w:ascii="仿宋_GB2312" w:hAnsi="仿宋_GB2312" w:cs="仿宋_GB2312" w:eastAsia="仿宋_GB2312"/>
                      <w:sz w:val="24"/>
                    </w:rPr>
                    <w:t>80m</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高压泵</w:t>
                  </w:r>
                </w:p>
              </w:tc>
              <w:tc>
                <w:tcPr>
                  <w:tcW w:type="dxa" w:w="1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高压泵流量（</w:t>
                  </w:r>
                  <w:r>
                    <w:rPr>
                      <w:rFonts w:ascii="仿宋_GB2312" w:hAnsi="仿宋_GB2312" w:cs="仿宋_GB2312" w:eastAsia="仿宋_GB2312"/>
                      <w:sz w:val="24"/>
                    </w:rPr>
                    <w:t>L/min）</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≥350</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高压管</w:t>
                  </w:r>
                  <w:r>
                    <w:rPr>
                      <w:rFonts w:ascii="仿宋_GB2312" w:hAnsi="仿宋_GB2312" w:cs="仿宋_GB2312" w:eastAsia="仿宋_GB2312"/>
                      <w:sz w:val="24"/>
                    </w:rPr>
                    <w:t>规格</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≥25mm/100m</w:t>
                  </w:r>
                  <w:r>
                    <w:rPr>
                      <w:rFonts w:ascii="仿宋_GB2312" w:hAnsi="仿宋_GB2312" w:cs="仿宋_GB2312" w:eastAsia="仿宋_GB2312"/>
                      <w:sz w:val="24"/>
                    </w:rPr>
                    <w:t>，双层钢丝</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过滤桶</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带高压过滤桶装置，高压操作箱分上下两层</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FFFFFF"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盘带</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加厚高压卷盘带，</w:t>
                  </w:r>
                  <w:r>
                    <w:rPr>
                      <w:rFonts w:ascii="仿宋_GB2312" w:hAnsi="仿宋_GB2312" w:cs="仿宋_GB2312" w:eastAsia="仿宋_GB2312"/>
                      <w:sz w:val="24"/>
                    </w:rPr>
                    <w:t>8mm 卷盘材质，卷盘筒芯槽钢加强</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1030"/>
              <w:gridCol w:w="1565"/>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随车</w:t>
                  </w:r>
                </w:p>
                <w:p>
                  <w:pPr>
                    <w:pStyle w:val="null3"/>
                    <w:jc w:val="center"/>
                  </w:pPr>
                  <w:r>
                    <w:rPr>
                      <w:rFonts w:ascii="仿宋_GB2312" w:hAnsi="仿宋_GB2312" w:cs="仿宋_GB2312" w:eastAsia="仿宋_GB2312"/>
                      <w:sz w:val="24"/>
                    </w:rPr>
                    <w:t>工具</w:t>
                  </w:r>
                </w:p>
              </w:tc>
              <w:tc>
                <w:tcPr>
                  <w:tcW w:type="dxa" w:w="1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firstLine="80"/>
                    <w:jc w:val="both"/>
                  </w:pPr>
                  <w:r>
                    <w:rPr>
                      <w:rFonts w:ascii="仿宋_GB2312" w:hAnsi="仿宋_GB2312" w:cs="仿宋_GB2312" w:eastAsia="仿宋_GB2312"/>
                      <w:sz w:val="21"/>
                    </w:rPr>
                    <w:t xml:space="preserve"> </w:t>
                  </w:r>
                  <w:r>
                    <w:rPr>
                      <w:rFonts w:ascii="仿宋_GB2312" w:hAnsi="仿宋_GB2312" w:cs="仿宋_GB2312" w:eastAsia="仿宋_GB2312"/>
                      <w:sz w:val="24"/>
                    </w:rPr>
                    <w:t>车辆保修手册说明书</w:t>
                  </w:r>
                </w:p>
              </w:tc>
              <w:tc>
                <w:tcPr>
                  <w:tcW w:type="dxa" w:w="1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firstLine="80"/>
                    <w:jc w:val="both"/>
                  </w:pPr>
                  <w:r>
                    <w:rPr>
                      <w:rFonts w:ascii="仿宋_GB2312" w:hAnsi="仿宋_GB2312" w:cs="仿宋_GB2312" w:eastAsia="仿宋_GB2312"/>
                      <w:sz w:val="24"/>
                    </w:rPr>
                    <w:t>1套</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随车千斤顶</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firstLine="80"/>
                    <w:jc w:val="both"/>
                  </w:pPr>
                  <w:r>
                    <w:rPr>
                      <w:rFonts w:ascii="仿宋_GB2312" w:hAnsi="仿宋_GB2312" w:cs="仿宋_GB2312" w:eastAsia="仿宋_GB2312"/>
                      <w:sz w:val="24"/>
                    </w:rPr>
                    <w:t>1个</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随车药匙</w:t>
                  </w:r>
                </w:p>
              </w:tc>
              <w:tc>
                <w:tcPr>
                  <w:tcW w:type="dxa" w:w="1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
                    <w:jc w:val="both"/>
                  </w:pPr>
                  <w:r>
                    <w:rPr>
                      <w:rFonts w:ascii="仿宋_GB2312" w:hAnsi="仿宋_GB2312" w:cs="仿宋_GB2312" w:eastAsia="仿宋_GB2312"/>
                      <w:sz w:val="24"/>
                    </w:rPr>
                    <w:t>2把</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3"/>
              <w:gridCol w:w="2600"/>
            </w:tblGrid>
            <w:tr>
              <w:tc>
                <w:tcPr>
                  <w:tcW w:type="dxa" w:w="333"/>
                  <w:tcBorders>
                    <w:top w:val="singl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其他要求</w:t>
                  </w:r>
                </w:p>
              </w:tc>
              <w:tc>
                <w:tcPr>
                  <w:tcW w:type="dxa" w:w="2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firstLine="60"/>
                    <w:jc w:val="both"/>
                  </w:pPr>
                  <w:r>
                    <w:rPr>
                      <w:rFonts w:ascii="仿宋_GB2312" w:hAnsi="仿宋_GB2312" w:cs="仿宋_GB2312" w:eastAsia="仿宋_GB2312"/>
                      <w:sz w:val="24"/>
                    </w:rPr>
                    <w:t>保险杠两侧带</w:t>
                  </w:r>
                  <w:r>
                    <w:rPr>
                      <w:rFonts w:ascii="仿宋_GB2312" w:hAnsi="仿宋_GB2312" w:cs="仿宋_GB2312" w:eastAsia="仿宋_GB2312"/>
                      <w:sz w:val="24"/>
                    </w:rPr>
                    <w:t xml:space="preserve">U </w:t>
                  </w:r>
                  <w:r>
                    <w:rPr>
                      <w:rFonts w:ascii="仿宋_GB2312" w:hAnsi="仿宋_GB2312" w:cs="仿宋_GB2312" w:eastAsia="仿宋_GB2312"/>
                      <w:sz w:val="24"/>
                    </w:rPr>
                    <w:t>型栓和吸污管托架</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spacing w:before="75"/>
                    <w:jc w:val="center"/>
                  </w:pPr>
                </w:p>
              </w:tc>
              <w:tc>
                <w:tcPr>
                  <w:tcW w:type="dxa" w:w="2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具有液压渣浆泵，带进油回油管液压收放卷盘。</w:t>
                  </w:r>
                </w:p>
              </w:tc>
            </w:tr>
            <w:tr>
              <w:tc>
                <w:tcPr>
                  <w:tcW w:type="dxa" w:w="333"/>
                  <w:tcBorders>
                    <w:top w:val="none" w:color="000000" w:sz="4"/>
                    <w:left w:val="single" w:color="000000" w:sz="4"/>
                    <w:bottom w:val="single" w:color="FFFFFF" w:sz="4"/>
                    <w:right w:val="single" w:color="000000" w:sz="4"/>
                  </w:tcBorders>
                  <w:tcMar>
                    <w:top w:type="dxa" w:w="0"/>
                    <w:left w:type="dxa" w:w="0"/>
                    <w:bottom w:type="dxa" w:w="0"/>
                    <w:right w:type="dxa" w:w="0"/>
                  </w:tcMar>
                  <w:vAlign w:val="top"/>
                </w:tcPr>
                <w:p>
                  <w:pPr>
                    <w:pStyle w:val="null3"/>
                    <w:spacing w:before="75"/>
                    <w:jc w:val="center"/>
                  </w:pPr>
                </w:p>
              </w:tc>
              <w:tc>
                <w:tcPr>
                  <w:tcW w:type="dxa" w:w="2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LED</w:t>
                  </w:r>
                  <w:r>
                    <w:rPr>
                      <w:rFonts w:ascii="仿宋_GB2312" w:hAnsi="仿宋_GB2312" w:cs="仿宋_GB2312" w:eastAsia="仿宋_GB2312"/>
                      <w:sz w:val="24"/>
                    </w:rPr>
                    <w:t>大灯、倒车影像、车轮两边射灯、夜间工作照明灯。</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p>
              </w:tc>
              <w:tc>
                <w:tcPr>
                  <w:tcW w:type="dxa" w:w="2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★生产厂家及所供车辆在中华人民共和国工业和信息化部公布的《车辆生产企业及产品公告》目录中（提供网上截图打印件加盖供应商公章）</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1、整车质保1年。从交货终验合格之日起计算。中标人承诺的质保时间超过招标文件要求的，按其承诺时间质保。2.中标人承诺的保修期起始时间为终验合格之日。 3.所有产品质量必须符合现行的国家标准或国家行政部门颁布的法律法规、规章制度等。没有国家标准的，可以参考行业标准。所有设备及辅材必须是未使用过的新产品，质量优良、渠道正当，配置合理。 4.保修期出现的质量问题由中标人负责解决并承担所有费用。质保期后如需更换零部件，中标人应以优惠价提供。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1、中标单位签订合同之日起，全程负责使用人员的相关培训和车辆机械使用 2、中标单位在中标(成交)结果公告结束后3个工作日内向采购代理机构提供纸质版投标文件正本一份，副本二份，电子U盘一份(投标文件内容与电子版一致)。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供应商需在项目电子化交易系统中按要求填写《投标函》完成承诺及基本资格要求内填写《供应商企业关系关联承诺书》并进行电子签章。</w:t>
            </w:r>
          </w:p>
        </w:tc>
        <w:tc>
          <w:tcPr>
            <w:tcW w:type="dxa" w:w="1661"/>
          </w:tcPr>
          <w:p>
            <w:pPr>
              <w:pStyle w:val="null3"/>
            </w:pPr>
            <w:r>
              <w:rPr>
                <w:rFonts w:ascii="仿宋_GB2312" w:hAnsi="仿宋_GB2312" w:cs="仿宋_GB2312" w:eastAsia="仿宋_GB2312"/>
              </w:rPr>
              <w:t>投标函 3、基本资格要求.docx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3、基本资格要求.docx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4、法人授权书（证明书）.docx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 ）</w:t>
            </w:r>
          </w:p>
        </w:tc>
        <w:tc>
          <w:tcPr>
            <w:tcW w:type="dxa" w:w="1661"/>
          </w:tcPr>
          <w:p>
            <w:pPr>
              <w:pStyle w:val="null3"/>
            </w:pPr>
            <w:r>
              <w:rPr>
                <w:rFonts w:ascii="仿宋_GB2312" w:hAnsi="仿宋_GB2312" w:cs="仿宋_GB2312" w:eastAsia="仿宋_GB2312"/>
              </w:rPr>
              <w:t>4、法人授权书（证明书）.docx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6、商务响应表.docx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 投标无效。</w:t>
            </w:r>
          </w:p>
        </w:tc>
        <w:tc>
          <w:tcPr>
            <w:tcW w:type="dxa" w:w="1661"/>
          </w:tcPr>
          <w:p>
            <w:pPr>
              <w:pStyle w:val="null3"/>
            </w:pPr>
            <w:r>
              <w:rPr>
                <w:rFonts w:ascii="仿宋_GB2312" w:hAnsi="仿宋_GB2312" w:cs="仿宋_GB2312" w:eastAsia="仿宋_GB2312"/>
              </w:rPr>
              <w:t>5、技术指标偏离表.docx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开标一览表 4、法人授权书（证明书）.docx 中小企业声明函 2、陕西省政府采购供应商拒绝政府采购领域商业贿赂承诺书.docx 5、技术指标偏离表.docx 投标函 残疾人福利性单位声明函 1、分项报价表.docx 标的清单 3、基本资格要求.docx 投标文件封面 6、商务响应表.docx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供应商未提供拒绝政府采购领域商业贿赂承诺书，投标无效。</w:t>
            </w:r>
          </w:p>
        </w:tc>
        <w:tc>
          <w:tcPr>
            <w:tcW w:type="dxa" w:w="1661"/>
          </w:tcPr>
          <w:p>
            <w:pPr>
              <w:pStyle w:val="null3"/>
            </w:pPr>
            <w:r>
              <w:rPr>
                <w:rFonts w:ascii="仿宋_GB2312" w:hAnsi="仿宋_GB2312" w:cs="仿宋_GB2312" w:eastAsia="仿宋_GB2312"/>
              </w:rPr>
              <w:t>2、陕西省政府采购供应商拒绝政府采购领域商业贿赂承诺书.docx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供应商的投标报价超过采购预算或未按招标文件要求提供分项报价表，投标无效。</w:t>
            </w:r>
          </w:p>
        </w:tc>
        <w:tc>
          <w:tcPr>
            <w:tcW w:type="dxa" w:w="1661"/>
          </w:tcPr>
          <w:p>
            <w:pPr>
              <w:pStyle w:val="null3"/>
            </w:pPr>
            <w:r>
              <w:rPr>
                <w:rFonts w:ascii="仿宋_GB2312" w:hAnsi="仿宋_GB2312" w:cs="仿宋_GB2312" w:eastAsia="仿宋_GB2312"/>
              </w:rPr>
              <w:t>开标一览表 1、分项报价表.docx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17.8分；▲技术指标每负偏离一项扣1分，非▲技术指标每负偏离一项扣0.4分，扣完为止。（包含但不限于投标人出具的产品技术说明书或产品彩页、使用说明书、第三方出具的检验报告或证明等技术指标和参数证明或支持文件为准，投标人应在投标文件中给出明确的证明材料索引）</w:t>
            </w:r>
          </w:p>
        </w:tc>
        <w:tc>
          <w:tcPr>
            <w:tcW w:type="dxa" w:w="831"/>
          </w:tcPr>
          <w:p>
            <w:pPr>
              <w:pStyle w:val="null3"/>
              <w:jc w:val="right"/>
            </w:pPr>
            <w:r>
              <w:rPr>
                <w:rFonts w:ascii="仿宋_GB2312" w:hAnsi="仿宋_GB2312" w:cs="仿宋_GB2312" w:eastAsia="仿宋_GB2312"/>
              </w:rPr>
              <w:t>17.8000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5、技术指标偏离表.docx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9 分） ①备货、供货进度及保证措施：每完全满足一个评审标准得 1 分，满分3分； ②拟投入本项目的人员安排及责任制度:每完全满足一个评审标准得 1分，满分 3分； ③所投产品的质量保证措施：每完全满足一个评审标准得 1分，满分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9分） ①所投产品符合国家相关标准，有具体可行的质量保证承诺，保证使用单位能熟练、安全使用:每完全满足一个评审标准得 2 分，满分 6 分。 ②提供所投产品提供合法来源渠道证明材料（包括但不限于产品制造商授权、销售协议、代理协议等证明文件）得3分，不提供不得分。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9、应急处置方案.docx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 二、评审标准 1、完整性：方案须全面，对评审内容中的各项要求描述详细； 2、可实施性：切合本项目实际情况，实施步骤清晰、合理； 3、针对性：方案能够紧扣项目实际情况，内容科学合理。 三、赋分依据（满分14.1分） ①售后服务范围及保障措施：每完全满足一个评审标准得 2分，满分 6分； ②售后服务承诺:每完全满足一个评审标准得2分，满分6 分； ③响应时间:保证 3 小时内到现场处理相关问题，提供承诺，每缩短30分钟得0.7分，满分2.1分；</w:t>
            </w:r>
          </w:p>
        </w:tc>
        <w:tc>
          <w:tcPr>
            <w:tcW w:type="dxa" w:w="831"/>
          </w:tcPr>
          <w:p>
            <w:pPr>
              <w:pStyle w:val="null3"/>
              <w:jc w:val="right"/>
            </w:pPr>
            <w:r>
              <w:rPr>
                <w:rFonts w:ascii="仿宋_GB2312" w:hAnsi="仿宋_GB2312" w:cs="仿宋_GB2312" w:eastAsia="仿宋_GB2312"/>
              </w:rPr>
              <w:t>14.1000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提供投标人2022年1月至今（时间以合同签订时间为准）类似项目业绩，每份计1.7分，计满5.1分为止。 备注：需提供完整业绩合同，并加盖投标人公章。</w:t>
            </w:r>
          </w:p>
        </w:tc>
        <w:tc>
          <w:tcPr>
            <w:tcW w:type="dxa" w:w="831"/>
          </w:tcPr>
          <w:p>
            <w:pPr>
              <w:pStyle w:val="null3"/>
              <w:jc w:val="right"/>
            </w:pPr>
            <w:r>
              <w:rPr>
                <w:rFonts w:ascii="仿宋_GB2312" w:hAnsi="仿宋_GB2312" w:cs="仿宋_GB2312" w:eastAsia="仿宋_GB2312"/>
              </w:rPr>
              <w:t>5.1000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详见附件：3、基本资格要求.docx</w:t>
      </w:r>
    </w:p>
    <w:p>
      <w:pPr>
        <w:pStyle w:val="null3"/>
        <w:ind w:firstLine="960"/>
      </w:pPr>
      <w:r>
        <w:rPr>
          <w:rFonts w:ascii="仿宋_GB2312" w:hAnsi="仿宋_GB2312" w:cs="仿宋_GB2312" w:eastAsia="仿宋_GB2312"/>
        </w:rPr>
        <w:t>详见附件：4、法人授权书（证明书）.docx</w:t>
      </w:r>
    </w:p>
    <w:p>
      <w:pPr>
        <w:pStyle w:val="null3"/>
        <w:ind w:firstLine="960"/>
      </w:pPr>
      <w:r>
        <w:rPr>
          <w:rFonts w:ascii="仿宋_GB2312" w:hAnsi="仿宋_GB2312" w:cs="仿宋_GB2312" w:eastAsia="仿宋_GB2312"/>
        </w:rPr>
        <w:t>详见附件：5、技术指标偏离表.docx</w:t>
      </w:r>
    </w:p>
    <w:p>
      <w:pPr>
        <w:pStyle w:val="null3"/>
        <w:ind w:firstLine="960"/>
      </w:pPr>
      <w:r>
        <w:rPr>
          <w:rFonts w:ascii="仿宋_GB2312" w:hAnsi="仿宋_GB2312" w:cs="仿宋_GB2312" w:eastAsia="仿宋_GB2312"/>
        </w:rPr>
        <w:t>详见附件：6、商务响应表.docx</w:t>
      </w:r>
    </w:p>
    <w:p>
      <w:pPr>
        <w:pStyle w:val="null3"/>
        <w:ind w:firstLine="960"/>
      </w:pPr>
      <w:r>
        <w:rPr>
          <w:rFonts w:ascii="仿宋_GB2312" w:hAnsi="仿宋_GB2312" w:cs="仿宋_GB2312" w:eastAsia="仿宋_GB2312"/>
        </w:rPr>
        <w:t>详见附件：7、项目实施方案.docx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详见附件：9、应急处置方案.docx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