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3A2552">
      <w:pPr>
        <w:pStyle w:val="5"/>
        <w:jc w:val="center"/>
        <w:outlineLvl w:val="1"/>
        <w:rPr>
          <w:rFonts w:hint="eastAsia" w:ascii="宋体" w:hAnsi="宋体" w:eastAsia="宋体" w:cs="宋体"/>
          <w:b/>
          <w:sz w:val="36"/>
          <w:highlight w:val="none"/>
        </w:rPr>
      </w:pPr>
      <w:r>
        <w:rPr>
          <w:rFonts w:hint="eastAsia" w:ascii="宋体" w:hAnsi="宋体" w:eastAsia="宋体" w:cs="宋体"/>
          <w:b/>
          <w:sz w:val="36"/>
          <w:highlight w:val="none"/>
        </w:rPr>
        <w:t>拟签订合同文本</w:t>
      </w:r>
    </w:p>
    <w:p w14:paraId="695E3E5C">
      <w:pPr>
        <w:spacing w:line="56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合同编号：         </w:t>
      </w:r>
    </w:p>
    <w:p w14:paraId="76C087C0">
      <w:pPr>
        <w:spacing w:line="240" w:lineRule="auto"/>
        <w:rPr>
          <w:rFonts w:hint="eastAsia" w:ascii="宋体" w:hAnsi="宋体" w:eastAsia="宋体" w:cs="宋体"/>
          <w:color w:val="auto"/>
          <w:kern w:val="0"/>
          <w:sz w:val="24"/>
          <w:highlight w:val="none"/>
        </w:rPr>
      </w:pPr>
    </w:p>
    <w:p w14:paraId="36CBF3BC">
      <w:pPr>
        <w:spacing w:line="240" w:lineRule="auto"/>
        <w:rPr>
          <w:rFonts w:hint="eastAsia" w:ascii="宋体" w:hAnsi="宋体" w:eastAsia="宋体" w:cs="宋体"/>
          <w:color w:val="auto"/>
          <w:kern w:val="0"/>
          <w:sz w:val="24"/>
          <w:highlight w:val="none"/>
        </w:rPr>
      </w:pPr>
    </w:p>
    <w:p w14:paraId="3A5503A8">
      <w:pPr>
        <w:pStyle w:val="2"/>
        <w:rPr>
          <w:rFonts w:hint="eastAsia" w:ascii="宋体" w:hAnsi="宋体" w:eastAsia="宋体" w:cs="宋体"/>
          <w:color w:val="auto"/>
          <w:highlight w:val="none"/>
        </w:rPr>
      </w:pPr>
    </w:p>
    <w:p w14:paraId="153DA206">
      <w:pPr>
        <w:spacing w:after="120" w:line="560" w:lineRule="exact"/>
        <w:jc w:val="center"/>
        <w:rPr>
          <w:rFonts w:hint="eastAsia" w:ascii="宋体" w:hAnsi="宋体" w:eastAsia="宋体" w:cs="宋体"/>
          <w:b/>
          <w:bCs/>
          <w:color w:val="auto"/>
          <w:kern w:val="0"/>
          <w:sz w:val="32"/>
          <w:szCs w:val="32"/>
          <w:highlight w:val="none"/>
          <w:u w:val="single"/>
        </w:rPr>
      </w:pPr>
      <w:r>
        <w:rPr>
          <w:rFonts w:hint="eastAsia" w:ascii="宋体" w:hAnsi="宋体" w:eastAsia="宋体" w:cs="宋体"/>
          <w:b/>
          <w:bCs/>
          <w:color w:val="auto"/>
          <w:kern w:val="0"/>
          <w:sz w:val="36"/>
          <w:szCs w:val="36"/>
          <w:highlight w:val="none"/>
          <w:u w:val="single"/>
          <w:lang w:val="en-US" w:eastAsia="zh-CN"/>
        </w:rPr>
        <w:t xml:space="preserve">                       </w:t>
      </w:r>
      <w:r>
        <w:rPr>
          <w:rFonts w:hint="eastAsia" w:ascii="宋体" w:hAnsi="宋体" w:eastAsia="宋体" w:cs="宋体"/>
          <w:b/>
          <w:bCs/>
          <w:color w:val="auto"/>
          <w:kern w:val="0"/>
          <w:sz w:val="36"/>
          <w:szCs w:val="36"/>
          <w:highlight w:val="none"/>
          <w:u w:val="single"/>
        </w:rPr>
        <w:t>项目</w:t>
      </w:r>
    </w:p>
    <w:p w14:paraId="704B651C">
      <w:pPr>
        <w:spacing w:after="120" w:line="5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00A33286">
      <w:pPr>
        <w:spacing w:after="120" w:line="5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793DA903">
      <w:pPr>
        <w:spacing w:line="560" w:lineRule="exact"/>
        <w:jc w:val="center"/>
        <w:rPr>
          <w:rFonts w:hint="eastAsia" w:ascii="宋体" w:hAnsi="宋体" w:eastAsia="宋体" w:cs="宋体"/>
          <w:b/>
          <w:bCs/>
          <w:color w:val="auto"/>
          <w:kern w:val="0"/>
          <w:sz w:val="32"/>
          <w:szCs w:val="32"/>
          <w:highlight w:val="none"/>
        </w:rPr>
      </w:pPr>
    </w:p>
    <w:p w14:paraId="7976D9C5">
      <w:pPr>
        <w:spacing w:line="560" w:lineRule="exact"/>
        <w:jc w:val="center"/>
        <w:rPr>
          <w:rFonts w:hint="eastAsia" w:ascii="宋体" w:hAnsi="宋体" w:eastAsia="宋体" w:cs="宋体"/>
          <w:b/>
          <w:bCs/>
          <w:color w:val="auto"/>
          <w:kern w:val="0"/>
          <w:sz w:val="44"/>
          <w:szCs w:val="44"/>
          <w:highlight w:val="none"/>
        </w:rPr>
      </w:pPr>
    </w:p>
    <w:p w14:paraId="72C6E398">
      <w:pPr>
        <w:spacing w:line="560" w:lineRule="exact"/>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14:paraId="65AA99BB">
      <w:pPr>
        <w:spacing w:line="560" w:lineRule="exact"/>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 xml:space="preserve"> </w:t>
      </w:r>
    </w:p>
    <w:p w14:paraId="2385A7A7">
      <w:pPr>
        <w:spacing w:line="560" w:lineRule="exact"/>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供 货 合 同</w:t>
      </w:r>
    </w:p>
    <w:p w14:paraId="2E683E62">
      <w:pPr>
        <w:spacing w:line="560" w:lineRule="exact"/>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 xml:space="preserve"> </w:t>
      </w:r>
    </w:p>
    <w:p w14:paraId="2A82A28C">
      <w:pPr>
        <w:spacing w:line="560" w:lineRule="exac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30"/>
          <w:szCs w:val="30"/>
          <w:highlight w:val="none"/>
        </w:rPr>
        <w:t xml:space="preserve"> </w:t>
      </w:r>
    </w:p>
    <w:p w14:paraId="134B7189">
      <w:pPr>
        <w:spacing w:line="5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753CC393">
      <w:pPr>
        <w:spacing w:line="560" w:lineRule="exac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 xml:space="preserve"> </w:t>
      </w:r>
    </w:p>
    <w:p w14:paraId="6F1B3A86">
      <w:pPr>
        <w:spacing w:line="560" w:lineRule="exact"/>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 xml:space="preserve"> </w:t>
      </w:r>
    </w:p>
    <w:p w14:paraId="0E045534">
      <w:pPr>
        <w:spacing w:line="560" w:lineRule="exact"/>
        <w:ind w:firstLine="964" w:firstLineChars="4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甲  方：（根据实际情况填写）</w:t>
      </w:r>
    </w:p>
    <w:p w14:paraId="69CDF5E5">
      <w:pPr>
        <w:spacing w:line="560" w:lineRule="exact"/>
        <w:ind w:firstLine="964" w:firstLineChars="4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 xml:space="preserve"> </w:t>
      </w:r>
    </w:p>
    <w:p w14:paraId="2FFB50BD">
      <w:pPr>
        <w:spacing w:line="560" w:lineRule="exact"/>
        <w:ind w:firstLine="964" w:firstLineChars="4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 xml:space="preserve">乙  方： </w:t>
      </w:r>
      <w:r>
        <w:rPr>
          <w:rFonts w:hint="eastAsia" w:ascii="宋体" w:hAnsi="宋体" w:eastAsia="宋体" w:cs="宋体"/>
          <w:b/>
          <w:bCs/>
          <w:color w:val="auto"/>
          <w:kern w:val="0"/>
          <w:sz w:val="24"/>
          <w:highlight w:val="none"/>
          <w:lang w:eastAsia="zh-CN"/>
        </w:rPr>
        <w:t>（</w:t>
      </w:r>
      <w:r>
        <w:rPr>
          <w:rFonts w:hint="eastAsia" w:ascii="宋体" w:hAnsi="宋体" w:eastAsia="宋体" w:cs="宋体"/>
          <w:b/>
          <w:bCs/>
          <w:color w:val="auto"/>
          <w:kern w:val="0"/>
          <w:sz w:val="24"/>
          <w:highlight w:val="none"/>
        </w:rPr>
        <w:t>根据实际情况填写</w:t>
      </w:r>
      <w:r>
        <w:rPr>
          <w:rFonts w:hint="eastAsia" w:ascii="宋体" w:hAnsi="宋体" w:eastAsia="宋体" w:cs="宋体"/>
          <w:b/>
          <w:bCs/>
          <w:color w:val="auto"/>
          <w:kern w:val="0"/>
          <w:sz w:val="24"/>
          <w:highlight w:val="none"/>
          <w:lang w:eastAsia="zh-CN"/>
        </w:rPr>
        <w:t>）</w:t>
      </w:r>
    </w:p>
    <w:p w14:paraId="738447C0">
      <w:pPr>
        <w:spacing w:line="5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57191EAF">
      <w:pPr>
        <w:spacing w:line="560" w:lineRule="exact"/>
        <w:rPr>
          <w:rFonts w:hint="eastAsia" w:ascii="宋体" w:hAnsi="宋体" w:eastAsia="宋体" w:cs="宋体"/>
          <w:b/>
          <w:bCs/>
          <w:color w:val="auto"/>
          <w:kern w:val="0"/>
          <w:sz w:val="32"/>
          <w:szCs w:val="32"/>
          <w:highlight w:val="none"/>
        </w:rPr>
      </w:pPr>
      <w:r>
        <w:rPr>
          <w:rFonts w:hint="eastAsia" w:ascii="宋体" w:hAnsi="宋体" w:eastAsia="宋体" w:cs="宋体"/>
          <w:color w:val="auto"/>
          <w:kern w:val="0"/>
          <w:sz w:val="24"/>
          <w:highlight w:val="none"/>
        </w:rPr>
        <w:t xml:space="preserve">                         二〇二</w:t>
      </w:r>
      <w:r>
        <w:rPr>
          <w:rFonts w:hint="eastAsia" w:ascii="宋体" w:hAnsi="宋体" w:eastAsia="宋体" w:cs="宋体"/>
          <w:color w:val="auto"/>
          <w:kern w:val="0"/>
          <w:sz w:val="24"/>
          <w:highlight w:val="none"/>
          <w:lang w:val="en-US" w:eastAsia="zh-CN"/>
        </w:rPr>
        <w:t>五</w:t>
      </w:r>
      <w:r>
        <w:rPr>
          <w:rFonts w:hint="eastAsia" w:ascii="宋体" w:hAnsi="宋体" w:eastAsia="宋体" w:cs="宋体"/>
          <w:color w:val="auto"/>
          <w:kern w:val="0"/>
          <w:sz w:val="24"/>
          <w:highlight w:val="none"/>
        </w:rPr>
        <w:t>年   月</w:t>
      </w:r>
    </w:p>
    <w:p w14:paraId="2690BEC0">
      <w:pPr>
        <w:spacing w:line="560" w:lineRule="exact"/>
        <w:jc w:val="center"/>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br w:type="page"/>
      </w:r>
      <w:r>
        <w:rPr>
          <w:rFonts w:hint="eastAsia" w:ascii="宋体" w:hAnsi="宋体" w:eastAsia="宋体" w:cs="宋体"/>
          <w:b/>
          <w:bCs/>
          <w:color w:val="auto"/>
          <w:kern w:val="0"/>
          <w:sz w:val="32"/>
          <w:szCs w:val="32"/>
          <w:highlight w:val="none"/>
        </w:rPr>
        <w:t>供 货 合 同</w:t>
      </w:r>
    </w:p>
    <w:p w14:paraId="3BE1D55B">
      <w:pPr>
        <w:spacing w:line="560" w:lineRule="exact"/>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0B1D0AA0">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lang w:val="en-US" w:eastAsia="zh-CN"/>
        </w:rPr>
        <w:t xml:space="preserve">                  （项目名称）</w:t>
      </w:r>
      <w:r>
        <w:rPr>
          <w:rFonts w:hint="eastAsia" w:ascii="宋体" w:hAnsi="宋体" w:eastAsia="宋体" w:cs="宋体"/>
          <w:color w:val="auto"/>
          <w:kern w:val="0"/>
          <w:sz w:val="21"/>
          <w:szCs w:val="21"/>
          <w:highlight w:val="none"/>
        </w:rPr>
        <w:t>，在财政部</w:t>
      </w:r>
      <w:r>
        <w:rPr>
          <w:rFonts w:hint="eastAsia" w:ascii="宋体" w:hAnsi="宋体" w:eastAsia="宋体" w:cs="宋体"/>
          <w:color w:val="auto"/>
          <w:kern w:val="0"/>
          <w:sz w:val="21"/>
          <w:szCs w:val="21"/>
          <w:highlight w:val="none"/>
          <w:lang w:eastAsia="zh-CN"/>
        </w:rPr>
        <w:t>门</w:t>
      </w:r>
      <w:r>
        <w:rPr>
          <w:rFonts w:hint="eastAsia" w:ascii="宋体" w:hAnsi="宋体" w:eastAsia="宋体" w:cs="宋体"/>
          <w:color w:val="auto"/>
          <w:kern w:val="0"/>
          <w:sz w:val="21"/>
          <w:szCs w:val="21"/>
          <w:highlight w:val="none"/>
        </w:rPr>
        <w:t>监督下，由</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组织公开招标，选定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为本项目的中标单位。</w:t>
      </w:r>
      <w:r>
        <w:rPr>
          <w:rFonts w:hint="eastAsia" w:ascii="宋体" w:hAnsi="宋体" w:eastAsia="宋体" w:cs="宋体"/>
          <w:color w:val="auto"/>
          <w:sz w:val="21"/>
          <w:szCs w:val="21"/>
          <w:highlight w:val="none"/>
        </w:rPr>
        <w:t>依据《中华人民共和国民法典》、《中华人民共和国政府采购法》以及招标文件、中标供应商投标文件、中标通知书，经甲、乙双方协商，达成如下条款。</w:t>
      </w:r>
    </w:p>
    <w:p w14:paraId="7AF1D844">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一、合同内容</w:t>
      </w:r>
    </w:p>
    <w:p w14:paraId="6C3F02F2">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乙方负责按合同中确定的产品品牌、规格、型号、数量、原产地及配套内容进行供货；按时运到甲方指定的</w:t>
      </w:r>
      <w:r>
        <w:rPr>
          <w:rFonts w:hint="eastAsia" w:ascii="宋体" w:hAnsi="宋体" w:eastAsia="宋体" w:cs="宋体"/>
          <w:color w:val="auto"/>
          <w:kern w:val="0"/>
          <w:sz w:val="21"/>
          <w:szCs w:val="21"/>
          <w:highlight w:val="none"/>
          <w:lang w:val="en-US" w:eastAsia="zh-CN"/>
        </w:rPr>
        <w:t>验收及</w:t>
      </w:r>
      <w:r>
        <w:rPr>
          <w:rFonts w:hint="eastAsia" w:ascii="宋体" w:hAnsi="宋体" w:eastAsia="宋体" w:cs="宋体"/>
          <w:color w:val="auto"/>
          <w:kern w:val="0"/>
          <w:sz w:val="21"/>
          <w:szCs w:val="21"/>
          <w:highlight w:val="none"/>
        </w:rPr>
        <w:t>交货地点，负责产品到货后安装调试工作，达到正常使用；负责为甲方培训操作、维护人员，指导操作使用维修保养，做好售后服务工作；</w:t>
      </w:r>
    </w:p>
    <w:p w14:paraId="3A8C32F4">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二、合同价款及质保期</w:t>
      </w:r>
    </w:p>
    <w:p w14:paraId="488FF69B">
      <w:pPr>
        <w:spacing w:line="56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中标产品品牌、规格、产地、数量、单价及合同总价：   单位：元</w:t>
      </w:r>
    </w:p>
    <w:tbl>
      <w:tblPr>
        <w:tblStyle w:val="3"/>
        <w:tblW w:w="91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552"/>
        <w:gridCol w:w="1559"/>
        <w:gridCol w:w="1559"/>
        <w:gridCol w:w="851"/>
        <w:gridCol w:w="992"/>
        <w:gridCol w:w="965"/>
      </w:tblGrid>
      <w:tr w14:paraId="47C8EE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694" w:type="dxa"/>
            <w:tcBorders>
              <w:tl2br w:val="nil"/>
              <w:tr2bl w:val="nil"/>
            </w:tcBorders>
            <w:vAlign w:val="center"/>
          </w:tcPr>
          <w:p w14:paraId="64781029">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552" w:type="dxa"/>
            <w:tcBorders>
              <w:tl2br w:val="nil"/>
              <w:tr2bl w:val="nil"/>
            </w:tcBorders>
            <w:vAlign w:val="center"/>
          </w:tcPr>
          <w:p w14:paraId="0830759F">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货物名称</w:t>
            </w:r>
          </w:p>
        </w:tc>
        <w:tc>
          <w:tcPr>
            <w:tcW w:w="1559" w:type="dxa"/>
            <w:tcBorders>
              <w:tl2br w:val="nil"/>
              <w:tr2bl w:val="nil"/>
            </w:tcBorders>
            <w:vAlign w:val="center"/>
          </w:tcPr>
          <w:p w14:paraId="2FF3A107">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原产地及厂商名称（品牌）</w:t>
            </w:r>
          </w:p>
        </w:tc>
        <w:tc>
          <w:tcPr>
            <w:tcW w:w="1559" w:type="dxa"/>
            <w:tcBorders>
              <w:tl2br w:val="nil"/>
              <w:tr2bl w:val="nil"/>
            </w:tcBorders>
            <w:vAlign w:val="center"/>
          </w:tcPr>
          <w:p w14:paraId="54BEDAA5">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851" w:type="dxa"/>
            <w:tcBorders>
              <w:tl2br w:val="nil"/>
              <w:tr2bl w:val="nil"/>
            </w:tcBorders>
            <w:vAlign w:val="center"/>
          </w:tcPr>
          <w:p w14:paraId="47F986B9">
            <w:pP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数量</w:t>
            </w:r>
          </w:p>
        </w:tc>
        <w:tc>
          <w:tcPr>
            <w:tcW w:w="992" w:type="dxa"/>
            <w:tcBorders>
              <w:tl2br w:val="nil"/>
              <w:tr2bl w:val="nil"/>
            </w:tcBorders>
            <w:vAlign w:val="center"/>
          </w:tcPr>
          <w:p w14:paraId="2EBA2E9A">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tc>
        <w:tc>
          <w:tcPr>
            <w:tcW w:w="965" w:type="dxa"/>
            <w:tcBorders>
              <w:tl2br w:val="nil"/>
              <w:tr2bl w:val="nil"/>
            </w:tcBorders>
            <w:vAlign w:val="center"/>
          </w:tcPr>
          <w:p w14:paraId="40A3E0DB">
            <w:pP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质保期</w:t>
            </w:r>
          </w:p>
        </w:tc>
      </w:tr>
      <w:tr w14:paraId="1B9385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694" w:type="dxa"/>
            <w:tcBorders>
              <w:tl2br w:val="nil"/>
              <w:tr2bl w:val="nil"/>
            </w:tcBorders>
            <w:vAlign w:val="center"/>
          </w:tcPr>
          <w:p w14:paraId="711A9769">
            <w:pP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2552" w:type="dxa"/>
            <w:tcBorders>
              <w:tl2br w:val="nil"/>
              <w:tr2bl w:val="nil"/>
            </w:tcBorders>
            <w:vAlign w:val="center"/>
          </w:tcPr>
          <w:p w14:paraId="102B086C">
            <w:pPr>
              <w:spacing w:line="360" w:lineRule="auto"/>
              <w:rPr>
                <w:rFonts w:hint="eastAsia" w:ascii="宋体" w:hAnsi="宋体" w:eastAsia="宋体" w:cs="宋体"/>
                <w:color w:val="auto"/>
                <w:sz w:val="21"/>
                <w:szCs w:val="21"/>
                <w:highlight w:val="none"/>
              </w:rPr>
            </w:pPr>
          </w:p>
        </w:tc>
        <w:tc>
          <w:tcPr>
            <w:tcW w:w="1559" w:type="dxa"/>
            <w:tcBorders>
              <w:tl2br w:val="nil"/>
              <w:tr2bl w:val="nil"/>
            </w:tcBorders>
            <w:vAlign w:val="center"/>
          </w:tcPr>
          <w:p w14:paraId="07F8F37A">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14:paraId="66A9A851">
            <w:pPr>
              <w:spacing w:line="360" w:lineRule="auto"/>
              <w:jc w:val="center"/>
              <w:rPr>
                <w:rFonts w:hint="eastAsia" w:ascii="宋体" w:hAnsi="宋体" w:eastAsia="宋体" w:cs="宋体"/>
                <w:color w:val="auto"/>
                <w:sz w:val="21"/>
                <w:szCs w:val="21"/>
                <w:highlight w:val="none"/>
              </w:rPr>
            </w:pPr>
          </w:p>
        </w:tc>
        <w:tc>
          <w:tcPr>
            <w:tcW w:w="851" w:type="dxa"/>
            <w:tcBorders>
              <w:tl2br w:val="nil"/>
              <w:tr2bl w:val="nil"/>
            </w:tcBorders>
            <w:vAlign w:val="center"/>
          </w:tcPr>
          <w:p w14:paraId="3D016F38">
            <w:pPr>
              <w:spacing w:line="360" w:lineRule="auto"/>
              <w:jc w:val="center"/>
              <w:rPr>
                <w:rFonts w:hint="eastAsia" w:ascii="宋体" w:hAnsi="宋体" w:eastAsia="宋体" w:cs="宋体"/>
                <w:color w:val="auto"/>
                <w:sz w:val="21"/>
                <w:szCs w:val="21"/>
                <w:highlight w:val="none"/>
              </w:rPr>
            </w:pPr>
          </w:p>
        </w:tc>
        <w:tc>
          <w:tcPr>
            <w:tcW w:w="992" w:type="dxa"/>
            <w:tcBorders>
              <w:tl2br w:val="nil"/>
              <w:tr2bl w:val="nil"/>
            </w:tcBorders>
            <w:vAlign w:val="center"/>
          </w:tcPr>
          <w:p w14:paraId="16F2C04D">
            <w:pPr>
              <w:spacing w:line="360" w:lineRule="auto"/>
              <w:jc w:val="center"/>
              <w:rPr>
                <w:rFonts w:hint="eastAsia" w:ascii="宋体" w:hAnsi="宋体" w:eastAsia="宋体" w:cs="宋体"/>
                <w:color w:val="auto"/>
                <w:sz w:val="21"/>
                <w:szCs w:val="21"/>
                <w:highlight w:val="none"/>
              </w:rPr>
            </w:pPr>
          </w:p>
        </w:tc>
        <w:tc>
          <w:tcPr>
            <w:tcW w:w="965" w:type="dxa"/>
            <w:tcBorders>
              <w:tl2br w:val="nil"/>
              <w:tr2bl w:val="nil"/>
            </w:tcBorders>
            <w:vAlign w:val="center"/>
          </w:tcPr>
          <w:p w14:paraId="37DFB8DC">
            <w:pPr>
              <w:spacing w:line="360" w:lineRule="auto"/>
              <w:jc w:val="center"/>
              <w:rPr>
                <w:rFonts w:hint="eastAsia" w:ascii="宋体" w:hAnsi="宋体" w:eastAsia="宋体" w:cs="宋体"/>
                <w:color w:val="auto"/>
                <w:sz w:val="21"/>
                <w:szCs w:val="21"/>
                <w:highlight w:val="none"/>
              </w:rPr>
            </w:pPr>
          </w:p>
        </w:tc>
      </w:tr>
      <w:tr w14:paraId="3DA403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14:paraId="5849B8FB">
            <w:pP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2552" w:type="dxa"/>
            <w:tcBorders>
              <w:tl2br w:val="nil"/>
              <w:tr2bl w:val="nil"/>
            </w:tcBorders>
            <w:vAlign w:val="center"/>
          </w:tcPr>
          <w:p w14:paraId="6A8E8834">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14:paraId="6A304735">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14:paraId="5437DEBD">
            <w:pPr>
              <w:spacing w:line="360" w:lineRule="auto"/>
              <w:jc w:val="center"/>
              <w:rPr>
                <w:rFonts w:hint="eastAsia" w:ascii="宋体" w:hAnsi="宋体" w:eastAsia="宋体" w:cs="宋体"/>
                <w:color w:val="auto"/>
                <w:sz w:val="21"/>
                <w:szCs w:val="21"/>
                <w:highlight w:val="none"/>
              </w:rPr>
            </w:pPr>
          </w:p>
        </w:tc>
        <w:tc>
          <w:tcPr>
            <w:tcW w:w="851" w:type="dxa"/>
            <w:tcBorders>
              <w:tl2br w:val="nil"/>
              <w:tr2bl w:val="nil"/>
            </w:tcBorders>
            <w:vAlign w:val="center"/>
          </w:tcPr>
          <w:p w14:paraId="3AB370C4">
            <w:pPr>
              <w:spacing w:line="360" w:lineRule="auto"/>
              <w:jc w:val="center"/>
              <w:rPr>
                <w:rFonts w:hint="eastAsia" w:ascii="宋体" w:hAnsi="宋体" w:eastAsia="宋体" w:cs="宋体"/>
                <w:color w:val="auto"/>
                <w:sz w:val="21"/>
                <w:szCs w:val="21"/>
                <w:highlight w:val="none"/>
              </w:rPr>
            </w:pPr>
          </w:p>
        </w:tc>
        <w:tc>
          <w:tcPr>
            <w:tcW w:w="992" w:type="dxa"/>
            <w:tcBorders>
              <w:tl2br w:val="nil"/>
              <w:tr2bl w:val="nil"/>
            </w:tcBorders>
            <w:vAlign w:val="center"/>
          </w:tcPr>
          <w:p w14:paraId="400ABC0C">
            <w:pPr>
              <w:spacing w:line="360" w:lineRule="auto"/>
              <w:jc w:val="center"/>
              <w:rPr>
                <w:rFonts w:hint="eastAsia" w:ascii="宋体" w:hAnsi="宋体" w:eastAsia="宋体" w:cs="宋体"/>
                <w:color w:val="auto"/>
                <w:sz w:val="21"/>
                <w:szCs w:val="21"/>
                <w:highlight w:val="none"/>
              </w:rPr>
            </w:pPr>
          </w:p>
        </w:tc>
        <w:tc>
          <w:tcPr>
            <w:tcW w:w="965" w:type="dxa"/>
            <w:tcBorders>
              <w:tl2br w:val="nil"/>
              <w:tr2bl w:val="nil"/>
            </w:tcBorders>
            <w:vAlign w:val="center"/>
          </w:tcPr>
          <w:p w14:paraId="413C3D29">
            <w:pPr>
              <w:spacing w:line="360" w:lineRule="auto"/>
              <w:jc w:val="center"/>
              <w:rPr>
                <w:rFonts w:hint="eastAsia" w:ascii="宋体" w:hAnsi="宋体" w:eastAsia="宋体" w:cs="宋体"/>
                <w:color w:val="auto"/>
                <w:sz w:val="21"/>
                <w:szCs w:val="21"/>
                <w:highlight w:val="none"/>
              </w:rPr>
            </w:pPr>
          </w:p>
        </w:tc>
      </w:tr>
      <w:tr w14:paraId="3FC0F2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14:paraId="32ACC543">
            <w:pP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2552" w:type="dxa"/>
            <w:tcBorders>
              <w:tl2br w:val="nil"/>
              <w:tr2bl w:val="nil"/>
            </w:tcBorders>
            <w:vAlign w:val="center"/>
          </w:tcPr>
          <w:p w14:paraId="14552FDC">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14:paraId="7E630825">
            <w:pPr>
              <w:spacing w:line="360" w:lineRule="auto"/>
              <w:jc w:val="center"/>
              <w:rPr>
                <w:rFonts w:hint="eastAsia" w:ascii="宋体" w:hAnsi="宋体" w:eastAsia="宋体" w:cs="宋体"/>
                <w:color w:val="auto"/>
                <w:sz w:val="21"/>
                <w:szCs w:val="21"/>
                <w:highlight w:val="none"/>
              </w:rPr>
            </w:pPr>
          </w:p>
        </w:tc>
        <w:tc>
          <w:tcPr>
            <w:tcW w:w="1559" w:type="dxa"/>
            <w:tcBorders>
              <w:tl2br w:val="nil"/>
              <w:tr2bl w:val="nil"/>
            </w:tcBorders>
            <w:vAlign w:val="center"/>
          </w:tcPr>
          <w:p w14:paraId="683327B3">
            <w:pPr>
              <w:spacing w:line="360" w:lineRule="auto"/>
              <w:jc w:val="center"/>
              <w:rPr>
                <w:rFonts w:hint="eastAsia" w:ascii="宋体" w:hAnsi="宋体" w:eastAsia="宋体" w:cs="宋体"/>
                <w:color w:val="auto"/>
                <w:sz w:val="21"/>
                <w:szCs w:val="21"/>
                <w:highlight w:val="none"/>
              </w:rPr>
            </w:pPr>
          </w:p>
        </w:tc>
        <w:tc>
          <w:tcPr>
            <w:tcW w:w="851" w:type="dxa"/>
            <w:tcBorders>
              <w:tl2br w:val="nil"/>
              <w:tr2bl w:val="nil"/>
            </w:tcBorders>
            <w:vAlign w:val="center"/>
          </w:tcPr>
          <w:p w14:paraId="55C0306B">
            <w:pPr>
              <w:spacing w:line="360" w:lineRule="auto"/>
              <w:jc w:val="center"/>
              <w:rPr>
                <w:rFonts w:hint="eastAsia" w:ascii="宋体" w:hAnsi="宋体" w:eastAsia="宋体" w:cs="宋体"/>
                <w:color w:val="auto"/>
                <w:sz w:val="21"/>
                <w:szCs w:val="21"/>
                <w:highlight w:val="none"/>
              </w:rPr>
            </w:pPr>
          </w:p>
        </w:tc>
        <w:tc>
          <w:tcPr>
            <w:tcW w:w="992" w:type="dxa"/>
            <w:tcBorders>
              <w:tl2br w:val="nil"/>
              <w:tr2bl w:val="nil"/>
            </w:tcBorders>
            <w:vAlign w:val="center"/>
          </w:tcPr>
          <w:p w14:paraId="7EAEE2D0">
            <w:pPr>
              <w:spacing w:line="360" w:lineRule="auto"/>
              <w:jc w:val="center"/>
              <w:rPr>
                <w:rFonts w:hint="eastAsia" w:ascii="宋体" w:hAnsi="宋体" w:eastAsia="宋体" w:cs="宋体"/>
                <w:color w:val="auto"/>
                <w:sz w:val="21"/>
                <w:szCs w:val="21"/>
                <w:highlight w:val="none"/>
              </w:rPr>
            </w:pPr>
          </w:p>
        </w:tc>
        <w:tc>
          <w:tcPr>
            <w:tcW w:w="965" w:type="dxa"/>
            <w:tcBorders>
              <w:tl2br w:val="nil"/>
              <w:tr2bl w:val="nil"/>
            </w:tcBorders>
            <w:vAlign w:val="center"/>
          </w:tcPr>
          <w:p w14:paraId="701E17B4">
            <w:pPr>
              <w:spacing w:line="360" w:lineRule="auto"/>
              <w:jc w:val="center"/>
              <w:rPr>
                <w:rFonts w:hint="eastAsia" w:ascii="宋体" w:hAnsi="宋体" w:eastAsia="宋体" w:cs="宋体"/>
                <w:color w:val="auto"/>
                <w:sz w:val="21"/>
                <w:szCs w:val="21"/>
                <w:highlight w:val="none"/>
              </w:rPr>
            </w:pPr>
          </w:p>
        </w:tc>
      </w:tr>
      <w:tr w14:paraId="28990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14:paraId="1A2909B3">
            <w:pP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合计</w:t>
            </w:r>
          </w:p>
        </w:tc>
        <w:tc>
          <w:tcPr>
            <w:tcW w:w="8478" w:type="dxa"/>
            <w:gridSpan w:val="6"/>
            <w:tcBorders>
              <w:tl2br w:val="nil"/>
              <w:tr2bl w:val="nil"/>
            </w:tcBorders>
            <w:vAlign w:val="center"/>
          </w:tcPr>
          <w:p w14:paraId="4056B910">
            <w:pPr>
              <w:spacing w:line="360" w:lineRule="auto"/>
              <w:jc w:val="center"/>
              <w:rPr>
                <w:rFonts w:hint="eastAsia" w:ascii="宋体" w:hAnsi="宋体" w:eastAsia="宋体" w:cs="宋体"/>
                <w:color w:val="auto"/>
                <w:sz w:val="21"/>
                <w:szCs w:val="21"/>
                <w:highlight w:val="none"/>
              </w:rPr>
            </w:pPr>
          </w:p>
        </w:tc>
      </w:tr>
    </w:tbl>
    <w:p w14:paraId="5376941C">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合同总价包括：产品供应费、运输费（含</w:t>
      </w:r>
      <w:r>
        <w:rPr>
          <w:rFonts w:hint="eastAsia" w:ascii="宋体" w:hAnsi="宋体" w:eastAsia="宋体" w:cs="宋体"/>
          <w:color w:val="auto"/>
          <w:kern w:val="0"/>
          <w:sz w:val="21"/>
          <w:szCs w:val="21"/>
          <w:highlight w:val="none"/>
          <w:lang w:eastAsia="zh-CN"/>
        </w:rPr>
        <w:t>分发运输费、</w:t>
      </w:r>
      <w:r>
        <w:rPr>
          <w:rFonts w:hint="eastAsia" w:ascii="宋体" w:hAnsi="宋体" w:eastAsia="宋体" w:cs="宋体"/>
          <w:color w:val="auto"/>
          <w:kern w:val="0"/>
          <w:sz w:val="21"/>
          <w:szCs w:val="21"/>
          <w:highlight w:val="none"/>
        </w:rPr>
        <w:t>保险费）、</w:t>
      </w:r>
      <w:r>
        <w:rPr>
          <w:rFonts w:hint="eastAsia" w:ascii="宋体" w:hAnsi="宋体" w:eastAsia="宋体" w:cs="宋体"/>
          <w:color w:val="auto"/>
          <w:kern w:val="0"/>
          <w:sz w:val="21"/>
          <w:szCs w:val="21"/>
          <w:highlight w:val="none"/>
          <w:lang w:eastAsia="zh-CN"/>
        </w:rPr>
        <w:t>装卸费（含分发装卸费）、</w:t>
      </w:r>
      <w:r>
        <w:rPr>
          <w:rFonts w:hint="eastAsia" w:ascii="宋体" w:hAnsi="宋体" w:eastAsia="宋体" w:cs="宋体"/>
          <w:color w:val="auto"/>
          <w:kern w:val="0"/>
          <w:sz w:val="21"/>
          <w:szCs w:val="21"/>
          <w:highlight w:val="none"/>
        </w:rPr>
        <w:t>安装调试费、检测验收费、培训费、售后服务费、税费及其它全部费用</w:t>
      </w:r>
      <w:r>
        <w:rPr>
          <w:rFonts w:hint="eastAsia" w:ascii="宋体" w:hAnsi="宋体" w:eastAsia="宋体" w:cs="宋体"/>
          <w:color w:val="auto"/>
          <w:kern w:val="0"/>
          <w:sz w:val="21"/>
          <w:szCs w:val="21"/>
          <w:highlight w:val="none"/>
          <w:lang w:eastAsia="zh-CN"/>
        </w:rPr>
        <w:t>，若国家税率调整，合同总价款保持不变</w:t>
      </w:r>
      <w:r>
        <w:rPr>
          <w:rFonts w:hint="eastAsia" w:ascii="宋体" w:hAnsi="宋体" w:eastAsia="宋体" w:cs="宋体"/>
          <w:color w:val="auto"/>
          <w:kern w:val="0"/>
          <w:sz w:val="21"/>
          <w:szCs w:val="21"/>
          <w:highlight w:val="none"/>
        </w:rPr>
        <w:t>。</w:t>
      </w:r>
    </w:p>
    <w:p w14:paraId="55D462DC">
      <w:pPr>
        <w:spacing w:line="360" w:lineRule="auto"/>
        <w:ind w:firstLine="420" w:firstLineChars="200"/>
        <w:rPr>
          <w:rFonts w:hint="default"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lang w:val="en-US" w:eastAsia="zh-CN"/>
        </w:rPr>
        <w:t>涉及到车辆的，由乙方负责车辆挂牌、保险缴纳及车辆购置税等相关税费；甲方负责监督车辆挂牌、保险缴纳及车辆购置税等相关事宜。</w:t>
      </w:r>
    </w:p>
    <w:p w14:paraId="29B96F5C">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.本合同签订生效后，在合同履行期限内，货物价款</w:t>
      </w:r>
      <w:r>
        <w:rPr>
          <w:rFonts w:hint="eastAsia" w:ascii="宋体" w:hAnsi="宋体" w:eastAsia="宋体" w:cs="宋体"/>
          <w:color w:val="auto"/>
          <w:kern w:val="0"/>
          <w:sz w:val="21"/>
          <w:szCs w:val="21"/>
          <w:highlight w:val="none"/>
        </w:rPr>
        <w:t>不受市场价格变化因素的影响。在项目实施中产生的其它费用，均由乙方</w:t>
      </w:r>
      <w:r>
        <w:rPr>
          <w:rFonts w:hint="eastAsia" w:ascii="宋体" w:hAnsi="宋体" w:eastAsia="宋体" w:cs="宋体"/>
          <w:color w:val="auto"/>
          <w:kern w:val="0"/>
          <w:sz w:val="21"/>
          <w:szCs w:val="21"/>
          <w:highlight w:val="none"/>
          <w:lang w:val="en-US" w:eastAsia="zh-CN"/>
        </w:rPr>
        <w:t>承担</w:t>
      </w:r>
      <w:r>
        <w:rPr>
          <w:rFonts w:hint="eastAsia" w:ascii="宋体" w:hAnsi="宋体" w:eastAsia="宋体" w:cs="宋体"/>
          <w:color w:val="auto"/>
          <w:kern w:val="0"/>
          <w:sz w:val="21"/>
          <w:szCs w:val="21"/>
          <w:highlight w:val="none"/>
        </w:rPr>
        <w:t>，甲方不再支付任何费用。</w:t>
      </w:r>
    </w:p>
    <w:p w14:paraId="6A29C264">
      <w:pPr>
        <w:spacing w:after="120" w:line="360" w:lineRule="auto"/>
        <w:ind w:firstLine="420" w:firstLineChars="20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乙方开户行：</w:t>
      </w:r>
    </w:p>
    <w:p w14:paraId="175A22FF">
      <w:pPr>
        <w:spacing w:after="120"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w:t>
      </w:r>
      <w:r>
        <w:rPr>
          <w:rFonts w:hint="eastAsia" w:ascii="宋体" w:hAnsi="宋体" w:eastAsia="宋体" w:cs="宋体"/>
          <w:color w:val="auto"/>
          <w:kern w:val="0"/>
          <w:sz w:val="21"/>
          <w:szCs w:val="21"/>
          <w:highlight w:val="none"/>
          <w:lang w:val="en-US" w:eastAsia="zh-CN"/>
        </w:rPr>
        <w:t>开户</w:t>
      </w:r>
      <w:r>
        <w:rPr>
          <w:rFonts w:hint="eastAsia" w:ascii="宋体" w:hAnsi="宋体" w:eastAsia="宋体" w:cs="宋体"/>
          <w:color w:val="auto"/>
          <w:kern w:val="0"/>
          <w:sz w:val="21"/>
          <w:szCs w:val="21"/>
          <w:highlight w:val="none"/>
        </w:rPr>
        <w:t>名称及账号：</w:t>
      </w:r>
    </w:p>
    <w:p w14:paraId="2E944486">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三、款项结算</w:t>
      </w:r>
    </w:p>
    <w:p w14:paraId="402BB472">
      <w:pPr>
        <w:spacing w:line="360" w:lineRule="auto"/>
        <w:ind w:firstLine="420" w:firstLineChars="200"/>
        <w:rPr>
          <w:rFonts w:hint="default" w:ascii="宋体" w:hAnsi="宋体" w:eastAsia="宋体" w:cs="宋体"/>
          <w:b/>
          <w:bCs/>
          <w:color w:val="auto"/>
          <w:kern w:val="0"/>
          <w:sz w:val="21"/>
          <w:szCs w:val="21"/>
          <w:highlight w:val="none"/>
          <w:lang w:val="en-US"/>
        </w:rPr>
      </w:pPr>
      <w:r>
        <w:rPr>
          <w:rFonts w:hint="eastAsia" w:ascii="宋体" w:hAnsi="宋体" w:eastAsia="宋体" w:cs="宋体"/>
          <w:color w:val="auto"/>
          <w:kern w:val="0"/>
          <w:sz w:val="21"/>
          <w:szCs w:val="21"/>
          <w:highlight w:val="none"/>
        </w:rPr>
        <w:t>1. 付款条件说明： 终验合格后 ，达到付款条件起 30 日内，支付合同总金额的 100.00%</w:t>
      </w:r>
      <w:r>
        <w:rPr>
          <w:rFonts w:hint="eastAsia" w:ascii="宋体" w:hAnsi="宋体" w:eastAsia="宋体" w:cs="宋体"/>
          <w:color w:val="auto"/>
          <w:kern w:val="0"/>
          <w:sz w:val="21"/>
          <w:szCs w:val="21"/>
          <w:highlight w:val="none"/>
          <w:lang w:val="en-US" w:eastAsia="zh-CN"/>
        </w:rPr>
        <w:t>；</w:t>
      </w:r>
    </w:p>
    <w:p w14:paraId="70179D3E">
      <w:pPr>
        <w:kinsoku w:val="0"/>
        <w:spacing w:line="360" w:lineRule="auto"/>
        <w:ind w:left="0" w:leftChars="0"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.乙方应于甲方每次付款前向甲方开具</w:t>
      </w:r>
      <w:r>
        <w:rPr>
          <w:rFonts w:hint="eastAsia" w:ascii="宋体" w:hAnsi="宋体" w:eastAsia="宋体" w:cs="宋体"/>
          <w:color w:val="auto"/>
          <w:kern w:val="0"/>
          <w:sz w:val="21"/>
          <w:szCs w:val="21"/>
          <w:highlight w:val="none"/>
          <w:lang w:val="en-US" w:eastAsia="zh-CN"/>
        </w:rPr>
        <w:t>符合甲方要求的</w:t>
      </w:r>
      <w:r>
        <w:rPr>
          <w:rFonts w:hint="eastAsia" w:ascii="宋体" w:hAnsi="宋体" w:eastAsia="宋体" w:cs="宋体"/>
          <w:color w:val="auto"/>
          <w:kern w:val="0"/>
          <w:sz w:val="21"/>
          <w:szCs w:val="21"/>
          <w:highlight w:val="none"/>
          <w:lang w:eastAsia="zh-CN"/>
        </w:rPr>
        <w:t>发票。因乙方迟延开票，甲方有权拒不付款且不承担任何责任。</w:t>
      </w:r>
    </w:p>
    <w:p w14:paraId="7DCFDF7C">
      <w:pPr>
        <w:kinsoku w:val="0"/>
        <w:spacing w:line="360" w:lineRule="auto"/>
        <w:ind w:left="0" w:leftChars="0"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34</w:t>
      </w:r>
      <w:r>
        <w:rPr>
          <w:rFonts w:hint="eastAsia" w:ascii="宋体" w:hAnsi="宋体" w:eastAsia="宋体" w:cs="宋体"/>
          <w:color w:val="auto"/>
          <w:kern w:val="0"/>
          <w:sz w:val="21"/>
          <w:szCs w:val="21"/>
          <w:highlight w:val="none"/>
          <w:lang w:eastAsia="zh-CN"/>
        </w:rPr>
        <w:t>.如乙方未按合同约定的货物品牌、型号、规格、参数、数量等要求供货的，甲方有权不予</w:t>
      </w:r>
      <w:r>
        <w:rPr>
          <w:rFonts w:hint="eastAsia" w:ascii="宋体" w:hAnsi="宋体" w:eastAsia="宋体" w:cs="宋体"/>
          <w:color w:val="auto"/>
          <w:kern w:val="0"/>
          <w:sz w:val="21"/>
          <w:szCs w:val="21"/>
          <w:highlight w:val="none"/>
          <w:lang w:val="en-US" w:eastAsia="zh-CN"/>
        </w:rPr>
        <w:t>支付剩余款项</w:t>
      </w:r>
      <w:r>
        <w:rPr>
          <w:rFonts w:hint="eastAsia" w:ascii="宋体" w:hAnsi="宋体" w:eastAsia="宋体" w:cs="宋体"/>
          <w:color w:val="auto"/>
          <w:kern w:val="0"/>
          <w:sz w:val="21"/>
          <w:szCs w:val="21"/>
          <w:highlight w:val="none"/>
          <w:lang w:eastAsia="zh-CN"/>
        </w:rPr>
        <w:t>且不承担任何责任。</w:t>
      </w:r>
    </w:p>
    <w:p w14:paraId="307D68C9">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四、履约保证金</w:t>
      </w:r>
    </w:p>
    <w:p w14:paraId="269BDA11">
      <w:pPr>
        <w:kinsoku w:val="0"/>
        <w:spacing w:line="360" w:lineRule="auto"/>
        <w:ind w:left="0" w:leftChars="0"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无</w:t>
      </w:r>
      <w:r>
        <w:rPr>
          <w:rFonts w:hint="eastAsia" w:ascii="宋体" w:hAnsi="宋体" w:eastAsia="宋体" w:cs="宋体"/>
          <w:color w:val="auto"/>
          <w:kern w:val="0"/>
          <w:sz w:val="21"/>
          <w:szCs w:val="21"/>
          <w:highlight w:val="none"/>
          <w:lang w:eastAsia="zh-CN"/>
        </w:rPr>
        <w:t>。</w:t>
      </w:r>
    </w:p>
    <w:p w14:paraId="20A5690F">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五</w:t>
      </w:r>
      <w:r>
        <w:rPr>
          <w:rFonts w:hint="eastAsia" w:ascii="宋体" w:hAnsi="宋体" w:eastAsia="宋体" w:cs="宋体"/>
          <w:b/>
          <w:bCs/>
          <w:color w:val="auto"/>
          <w:kern w:val="0"/>
          <w:sz w:val="21"/>
          <w:szCs w:val="21"/>
          <w:highlight w:val="none"/>
        </w:rPr>
        <w:t>、双方的权利和义务</w:t>
      </w:r>
    </w:p>
    <w:p w14:paraId="3C2BFCC3">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甲方责任</w:t>
      </w:r>
    </w:p>
    <w:p w14:paraId="2FCDC6AE">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20F3222F">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乙方责任</w:t>
      </w:r>
    </w:p>
    <w:p w14:paraId="5AFD42FD">
      <w:pPr>
        <w:spacing w:line="360" w:lineRule="auto"/>
        <w:ind w:firstLine="420" w:firstLineChars="200"/>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按时完成产品运行环境的检查</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产品的交接</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r>
        <w:rPr>
          <w:rFonts w:hint="eastAsia" w:ascii="宋体" w:hAnsi="宋体" w:eastAsia="宋体" w:cs="宋体"/>
          <w:color w:val="auto"/>
          <w:kern w:val="0"/>
          <w:sz w:val="21"/>
          <w:szCs w:val="21"/>
          <w:highlight w:val="none"/>
          <w:lang w:val="en-US" w:eastAsia="zh-CN"/>
        </w:rPr>
        <w:t>保证其提供的产品不存在任何知识产权争议。</w:t>
      </w:r>
    </w:p>
    <w:p w14:paraId="1FCEF717">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六</w:t>
      </w:r>
      <w:r>
        <w:rPr>
          <w:rFonts w:hint="eastAsia" w:ascii="宋体" w:hAnsi="宋体" w:eastAsia="宋体" w:cs="宋体"/>
          <w:b/>
          <w:bCs/>
          <w:color w:val="auto"/>
          <w:kern w:val="0"/>
          <w:sz w:val="21"/>
          <w:szCs w:val="21"/>
          <w:highlight w:val="none"/>
        </w:rPr>
        <w:t>、交货条件：</w:t>
      </w:r>
    </w:p>
    <w:p w14:paraId="7C54154A">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交货地点</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 xml:space="preserve">甲方指定地点。  </w:t>
      </w:r>
    </w:p>
    <w:p w14:paraId="0CC7D4C2">
      <w:pPr>
        <w:spacing w:line="360" w:lineRule="auto"/>
        <w:ind w:firstLine="315" w:firstLineChars="15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（1）乙方必须派</w:t>
      </w:r>
      <w:r>
        <w:rPr>
          <w:rFonts w:hint="eastAsia" w:ascii="宋体" w:hAnsi="宋体" w:eastAsia="宋体" w:cs="宋体"/>
          <w:color w:val="auto"/>
          <w:kern w:val="0"/>
          <w:sz w:val="21"/>
          <w:szCs w:val="21"/>
          <w:highlight w:val="none"/>
          <w:lang w:val="en-US" w:eastAsia="zh-CN"/>
        </w:rPr>
        <w:t>专</w:t>
      </w:r>
      <w:r>
        <w:rPr>
          <w:rFonts w:hint="eastAsia" w:ascii="宋体" w:hAnsi="宋体" w:eastAsia="宋体" w:cs="宋体"/>
          <w:color w:val="auto"/>
          <w:kern w:val="0"/>
          <w:sz w:val="21"/>
          <w:szCs w:val="21"/>
          <w:highlight w:val="none"/>
        </w:rPr>
        <w:t>人送货</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配合</w:t>
      </w:r>
      <w:r>
        <w:rPr>
          <w:rFonts w:hint="eastAsia" w:ascii="宋体" w:hAnsi="宋体" w:eastAsia="宋体" w:cs="宋体"/>
          <w:color w:val="auto"/>
          <w:kern w:val="0"/>
          <w:sz w:val="21"/>
          <w:szCs w:val="21"/>
          <w:highlight w:val="none"/>
        </w:rPr>
        <w:t>清点、移交、</w:t>
      </w:r>
      <w:r>
        <w:rPr>
          <w:rFonts w:hint="eastAsia" w:ascii="宋体" w:hAnsi="宋体" w:eastAsia="宋体" w:cs="宋体"/>
          <w:color w:val="auto"/>
          <w:kern w:val="0"/>
          <w:sz w:val="21"/>
          <w:szCs w:val="21"/>
          <w:highlight w:val="none"/>
          <w:lang w:val="en-US" w:eastAsia="zh-CN"/>
        </w:rPr>
        <w:t>进行调试、</w:t>
      </w:r>
      <w:r>
        <w:rPr>
          <w:rFonts w:hint="eastAsia" w:ascii="宋体" w:hAnsi="宋体" w:eastAsia="宋体" w:cs="宋体"/>
          <w:color w:val="auto"/>
          <w:kern w:val="0"/>
          <w:sz w:val="21"/>
          <w:szCs w:val="21"/>
          <w:highlight w:val="none"/>
        </w:rPr>
        <w:t>培训。</w:t>
      </w:r>
      <w:r>
        <w:rPr>
          <w:rFonts w:hint="eastAsia" w:ascii="宋体" w:hAnsi="宋体" w:eastAsia="宋体" w:cs="宋体"/>
          <w:color w:val="auto"/>
          <w:kern w:val="0"/>
          <w:sz w:val="21"/>
          <w:szCs w:val="21"/>
          <w:highlight w:val="none"/>
          <w:lang w:val="en-US" w:eastAsia="zh-CN"/>
        </w:rPr>
        <w:t>不能以</w:t>
      </w:r>
      <w:r>
        <w:rPr>
          <w:rFonts w:hint="eastAsia" w:ascii="宋体" w:hAnsi="宋体" w:eastAsia="宋体" w:cs="宋体"/>
          <w:color w:val="auto"/>
          <w:kern w:val="0"/>
          <w:sz w:val="21"/>
          <w:szCs w:val="21"/>
          <w:highlight w:val="none"/>
        </w:rPr>
        <w:t>任何物流、邮寄供货。</w:t>
      </w:r>
    </w:p>
    <w:p w14:paraId="42AB3969">
      <w:pPr>
        <w:spacing w:line="360" w:lineRule="auto"/>
        <w:ind w:firstLine="315" w:firstLineChars="15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（2）本合同所有产品单件必须标明厂商、商标、型号、生产时间并附有效期内的检测报告并盖章。</w:t>
      </w:r>
    </w:p>
    <w:p w14:paraId="2009DAFD">
      <w:pPr>
        <w:spacing w:line="360" w:lineRule="auto"/>
        <w:ind w:firstLine="420" w:firstLineChars="200"/>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lang w:eastAsia="zh-CN"/>
        </w:rPr>
        <w:t>交货时间</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eastAsia="zh-CN"/>
        </w:rPr>
        <w:t>自合同签订之日起30日历天</w:t>
      </w:r>
      <w:r>
        <w:rPr>
          <w:rFonts w:hint="eastAsia" w:ascii="宋体" w:hAnsi="宋体" w:eastAsia="宋体" w:cs="宋体"/>
          <w:color w:val="auto"/>
          <w:kern w:val="0"/>
          <w:sz w:val="21"/>
          <w:szCs w:val="21"/>
          <w:highlight w:val="none"/>
        </w:rPr>
        <w:t>。</w:t>
      </w:r>
    </w:p>
    <w:p w14:paraId="1F3D31AB">
      <w:pPr>
        <w:spacing w:line="360" w:lineRule="auto"/>
        <w:ind w:firstLine="422" w:firstLineChars="200"/>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eastAsia="zh-CN"/>
        </w:rPr>
        <w:t>七</w:t>
      </w:r>
      <w:r>
        <w:rPr>
          <w:rFonts w:hint="eastAsia" w:ascii="宋体" w:hAnsi="宋体" w:eastAsia="宋体" w:cs="宋体"/>
          <w:b/>
          <w:bCs/>
          <w:color w:val="auto"/>
          <w:kern w:val="0"/>
          <w:sz w:val="21"/>
          <w:szCs w:val="21"/>
          <w:highlight w:val="none"/>
        </w:rPr>
        <w:t>、运输</w:t>
      </w:r>
      <w:r>
        <w:rPr>
          <w:rFonts w:hint="eastAsia" w:ascii="宋体" w:hAnsi="宋体" w:eastAsia="宋体" w:cs="宋体"/>
          <w:b/>
          <w:bCs/>
          <w:color w:val="auto"/>
          <w:kern w:val="0"/>
          <w:sz w:val="21"/>
          <w:szCs w:val="21"/>
          <w:highlight w:val="none"/>
          <w:lang w:val="en-US" w:eastAsia="zh-CN"/>
        </w:rPr>
        <w:t>及风险</w:t>
      </w:r>
    </w:p>
    <w:p w14:paraId="720A82BD">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运输由乙方负责，运杂费已包含在合同总价内，包括从产品供应地点所含的运输费、装卸费、仓储费、保险费等。</w:t>
      </w:r>
    </w:p>
    <w:p w14:paraId="6FA1A18E">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乙方保证产品安全、按期运输到达甲方指定交货地点并安装到位，经甲方验收合格</w:t>
      </w:r>
      <w:r>
        <w:rPr>
          <w:rFonts w:hint="eastAsia" w:ascii="宋体" w:hAnsi="宋体" w:eastAsia="宋体" w:cs="宋体"/>
          <w:color w:val="auto"/>
          <w:kern w:val="0"/>
          <w:sz w:val="21"/>
          <w:szCs w:val="21"/>
          <w:highlight w:val="none"/>
          <w:lang w:eastAsia="zh-CN"/>
        </w:rPr>
        <w:t>、完成分发配发</w:t>
      </w:r>
      <w:r>
        <w:rPr>
          <w:rFonts w:hint="eastAsia" w:ascii="宋体" w:hAnsi="宋体" w:eastAsia="宋体" w:cs="宋体"/>
          <w:color w:val="auto"/>
          <w:kern w:val="0"/>
          <w:sz w:val="21"/>
          <w:szCs w:val="21"/>
          <w:highlight w:val="none"/>
        </w:rPr>
        <w:t>前发生的不可预见的风险均由乙方承担。</w:t>
      </w:r>
    </w:p>
    <w:p w14:paraId="51EDFC77">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八</w:t>
      </w:r>
      <w:r>
        <w:rPr>
          <w:rFonts w:hint="eastAsia" w:ascii="宋体" w:hAnsi="宋体" w:eastAsia="宋体" w:cs="宋体"/>
          <w:b/>
          <w:bCs/>
          <w:color w:val="auto"/>
          <w:kern w:val="0"/>
          <w:sz w:val="21"/>
          <w:szCs w:val="21"/>
          <w:highlight w:val="none"/>
        </w:rPr>
        <w:t>、乙方质量保证</w:t>
      </w:r>
    </w:p>
    <w:p w14:paraId="426BDB46">
      <w:pPr>
        <w:spacing w:line="360" w:lineRule="auto"/>
        <w:ind w:firstLine="420" w:firstLineChars="200"/>
        <w:jc w:val="left"/>
        <w:textAlignment w:val="top"/>
        <w:rPr>
          <w:rFonts w:hint="default" w:ascii="宋体" w:hAnsi="宋体" w:eastAsia="宋体" w:cs="宋体"/>
          <w:b/>
          <w:bCs/>
          <w:color w:val="auto"/>
          <w:kern w:val="0"/>
          <w:sz w:val="21"/>
          <w:szCs w:val="21"/>
          <w:highlight w:val="none"/>
          <w:lang w:val="en-US" w:eastAsia="zh-CN"/>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保修期（质保期）：乙方按照招标文件中技术参数中的要求执行（与本合同第二款中质保期相符），自产品经甲方验收合格后之次日算起，确因质量问题不能使用的，应当免费换新。</w:t>
      </w:r>
      <w:r>
        <w:rPr>
          <w:rFonts w:hint="eastAsia" w:ascii="宋体" w:hAnsi="宋体" w:eastAsia="宋体" w:cs="宋体"/>
          <w:b/>
          <w:bCs/>
          <w:color w:val="auto"/>
          <w:kern w:val="0"/>
          <w:sz w:val="21"/>
          <w:szCs w:val="21"/>
          <w:highlight w:val="none"/>
          <w:lang w:eastAsia="zh-CN"/>
        </w:rPr>
        <w:t>（</w:t>
      </w:r>
      <w:r>
        <w:rPr>
          <w:rFonts w:hint="eastAsia" w:ascii="宋体" w:hAnsi="宋体" w:eastAsia="宋体" w:cs="宋体"/>
          <w:b/>
          <w:bCs/>
          <w:color w:val="auto"/>
          <w:kern w:val="0"/>
          <w:sz w:val="21"/>
          <w:szCs w:val="21"/>
          <w:highlight w:val="none"/>
          <w:lang w:val="en-US" w:eastAsia="zh-CN"/>
        </w:rPr>
        <w:t>产品实际质保期多于招标文件要求的，按实际质保期执行）</w:t>
      </w:r>
    </w:p>
    <w:p w14:paraId="05EE552B">
      <w:pPr>
        <w:spacing w:line="360" w:lineRule="auto"/>
        <w:ind w:firstLine="48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提供每周7*24小时的技术咨询服务。乙方接到甲方维修要求后，应保证2小时内给予明确答复，并在36小时内解决甲方提出的维修要求。</w:t>
      </w:r>
    </w:p>
    <w:p w14:paraId="4FBB5DE0">
      <w:pPr>
        <w:spacing w:line="360" w:lineRule="auto"/>
        <w:ind w:firstLine="480"/>
        <w:jc w:val="left"/>
        <w:textAlignment w:val="top"/>
        <w:rPr>
          <w:rFonts w:hint="default" w:ascii="宋体" w:hAnsi="宋体" w:eastAsia="宋体" w:cs="宋体"/>
          <w:b/>
          <w:bCs/>
          <w:color w:val="auto"/>
          <w:kern w:val="0"/>
          <w:sz w:val="21"/>
          <w:szCs w:val="21"/>
          <w:highlight w:val="none"/>
          <w:lang w:val="en-US" w:eastAsia="zh-CN"/>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保修期（质保期），免费维修。保修期（质保期）外优惠供应配件，只收</w:t>
      </w:r>
      <w:r>
        <w:rPr>
          <w:rFonts w:hint="eastAsia" w:ascii="宋体" w:hAnsi="宋体" w:eastAsia="宋体" w:cs="宋体"/>
          <w:color w:val="auto"/>
          <w:kern w:val="0"/>
          <w:sz w:val="21"/>
          <w:szCs w:val="21"/>
          <w:highlight w:val="none"/>
          <w:lang w:val="en-US" w:eastAsia="zh-CN"/>
        </w:rPr>
        <w:t>成本</w:t>
      </w:r>
      <w:r>
        <w:rPr>
          <w:rFonts w:hint="eastAsia" w:ascii="宋体" w:hAnsi="宋体" w:eastAsia="宋体" w:cs="宋体"/>
          <w:color w:val="auto"/>
          <w:kern w:val="0"/>
          <w:sz w:val="21"/>
          <w:szCs w:val="21"/>
          <w:highlight w:val="none"/>
        </w:rPr>
        <w:t>费。在保修期（质保期）内，如有制造质量问题或技术缺陷造成设备故障或损坏，乙方在24小时内无法修复或需要返厂进行维修的，乙方必须予以免费整体更换相应设备，以保证甲方最终用户单位工作正常开展；在甲方最终用户单位使用的</w:t>
      </w:r>
      <w:r>
        <w:rPr>
          <w:rFonts w:hint="eastAsia" w:ascii="宋体" w:hAnsi="宋体" w:eastAsia="宋体" w:cs="宋体"/>
          <w:color w:val="auto"/>
          <w:kern w:val="0"/>
          <w:sz w:val="21"/>
          <w:szCs w:val="21"/>
          <w:highlight w:val="none"/>
          <w:lang w:val="en-US" w:eastAsia="zh-CN"/>
        </w:rPr>
        <w:t>前</w:t>
      </w:r>
      <w:r>
        <w:rPr>
          <w:rFonts w:hint="eastAsia" w:ascii="宋体" w:hAnsi="宋体" w:eastAsia="宋体" w:cs="宋体"/>
          <w:color w:val="auto"/>
          <w:kern w:val="0"/>
          <w:sz w:val="21"/>
          <w:szCs w:val="21"/>
          <w:highlight w:val="none"/>
        </w:rPr>
        <w:t>三个月</w:t>
      </w:r>
      <w:r>
        <w:rPr>
          <w:rFonts w:hint="eastAsia" w:ascii="宋体" w:hAnsi="宋体" w:eastAsia="宋体" w:cs="宋体"/>
          <w:color w:val="auto"/>
          <w:kern w:val="0"/>
          <w:sz w:val="21"/>
          <w:szCs w:val="21"/>
          <w:highlight w:val="none"/>
          <w:lang w:eastAsia="zh-CN"/>
        </w:rPr>
        <w:t>或初次使用时</w:t>
      </w:r>
      <w:r>
        <w:rPr>
          <w:rFonts w:hint="eastAsia" w:ascii="宋体" w:hAnsi="宋体" w:eastAsia="宋体" w:cs="宋体"/>
          <w:color w:val="auto"/>
          <w:kern w:val="0"/>
          <w:sz w:val="21"/>
          <w:szCs w:val="21"/>
          <w:highlight w:val="none"/>
        </w:rPr>
        <w:t>，同一设备出现质量问题，乙方必须在甲方指定期限内予以免费整体更换该设备。</w:t>
      </w:r>
      <w:r>
        <w:rPr>
          <w:rFonts w:hint="eastAsia" w:ascii="宋体" w:hAnsi="宋体" w:eastAsia="宋体" w:cs="宋体"/>
          <w:color w:val="auto"/>
          <w:kern w:val="0"/>
          <w:sz w:val="21"/>
          <w:szCs w:val="21"/>
          <w:highlight w:val="none"/>
          <w:lang w:val="en-US" w:eastAsia="zh-CN"/>
        </w:rPr>
        <w:t>若乙方未按甲方要求维修、更换，甲方可委托第三方单位进行产品维修、更换，所产生的全部费用由乙方承担。</w:t>
      </w:r>
    </w:p>
    <w:p w14:paraId="116CB8A8">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九</w:t>
      </w:r>
      <w:r>
        <w:rPr>
          <w:rFonts w:hint="eastAsia" w:ascii="宋体" w:hAnsi="宋体" w:eastAsia="宋体" w:cs="宋体"/>
          <w:b/>
          <w:bCs/>
          <w:color w:val="auto"/>
          <w:kern w:val="0"/>
          <w:sz w:val="21"/>
          <w:szCs w:val="21"/>
          <w:highlight w:val="none"/>
        </w:rPr>
        <w:t>、乙方售后服务</w:t>
      </w:r>
    </w:p>
    <w:p w14:paraId="36ADA842">
      <w:pPr>
        <w:spacing w:line="360" w:lineRule="auto"/>
        <w:ind w:firstLine="420" w:firstLineChars="2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1.培训：为甲方提供涉及产品的使用范围、主要性能、技术指标、使用方法、注意事项和维护保养、贮存方法等方面的培训，并由乙方专业人员向客户提供技术支持。</w:t>
      </w:r>
    </w:p>
    <w:p w14:paraId="70028E4E">
      <w:pPr>
        <w:spacing w:line="360" w:lineRule="auto"/>
        <w:ind w:firstLine="420" w:firstLineChars="2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2.售后服务工作程序</w:t>
      </w:r>
    </w:p>
    <w:p w14:paraId="06390981">
      <w:pPr>
        <w:spacing w:line="360" w:lineRule="auto"/>
        <w:ind w:firstLine="630" w:firstLineChars="3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售后服务电话：</w:t>
      </w:r>
    </w:p>
    <w:p w14:paraId="18B10E3C">
      <w:pPr>
        <w:spacing w:line="360" w:lineRule="auto"/>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（1）受理甲方售后要求，详细</w:t>
      </w:r>
      <w:r>
        <w:rPr>
          <w:rFonts w:hint="eastAsia" w:ascii="宋体" w:hAnsi="宋体" w:eastAsia="宋体" w:cs="宋体"/>
          <w:color w:val="auto"/>
          <w:kern w:val="0"/>
          <w:sz w:val="21"/>
          <w:szCs w:val="21"/>
          <w:highlight w:val="none"/>
          <w:lang w:val="en-US" w:eastAsia="zh-CN"/>
        </w:rPr>
        <w:t>查明</w:t>
      </w:r>
      <w:r>
        <w:rPr>
          <w:rFonts w:hint="eastAsia" w:ascii="宋体" w:hAnsi="宋体" w:eastAsia="宋体" w:cs="宋体"/>
          <w:color w:val="auto"/>
          <w:kern w:val="0"/>
          <w:sz w:val="21"/>
          <w:szCs w:val="21"/>
          <w:highlight w:val="none"/>
        </w:rPr>
        <w:t>问题所在，并给予明确答复，做电话记录。</w:t>
      </w:r>
    </w:p>
    <w:p w14:paraId="3560C186">
      <w:pPr>
        <w:spacing w:line="360" w:lineRule="auto"/>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（2）在接到电话24小时内，安排</w:t>
      </w:r>
      <w:r>
        <w:rPr>
          <w:rFonts w:hint="eastAsia" w:ascii="宋体" w:hAnsi="宋体" w:eastAsia="宋体" w:cs="宋体"/>
          <w:color w:val="auto"/>
          <w:kern w:val="0"/>
          <w:sz w:val="21"/>
          <w:szCs w:val="21"/>
          <w:highlight w:val="none"/>
          <w:lang w:val="en-US" w:eastAsia="zh-CN"/>
        </w:rPr>
        <w:t>专业</w:t>
      </w:r>
      <w:r>
        <w:rPr>
          <w:rFonts w:hint="eastAsia" w:ascii="宋体" w:hAnsi="宋体" w:eastAsia="宋体" w:cs="宋体"/>
          <w:color w:val="auto"/>
          <w:kern w:val="0"/>
          <w:sz w:val="21"/>
          <w:szCs w:val="21"/>
          <w:highlight w:val="none"/>
        </w:rPr>
        <w:t>人员，制定服务计划。</w:t>
      </w:r>
    </w:p>
    <w:p w14:paraId="046A8BD2">
      <w:pPr>
        <w:spacing w:line="360" w:lineRule="auto"/>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（3）在接到电话36小时内赶到甲方</w:t>
      </w:r>
      <w:r>
        <w:rPr>
          <w:rFonts w:hint="eastAsia" w:ascii="宋体" w:hAnsi="宋体" w:eastAsia="宋体" w:cs="宋体"/>
          <w:color w:val="auto"/>
          <w:kern w:val="0"/>
          <w:sz w:val="21"/>
          <w:szCs w:val="21"/>
          <w:highlight w:val="none"/>
          <w:lang w:val="en-US" w:eastAsia="zh-CN"/>
        </w:rPr>
        <w:t>反馈的售后</w:t>
      </w:r>
      <w:r>
        <w:rPr>
          <w:rFonts w:hint="eastAsia" w:ascii="宋体" w:hAnsi="宋体" w:eastAsia="宋体" w:cs="宋体"/>
          <w:color w:val="auto"/>
          <w:kern w:val="0"/>
          <w:sz w:val="21"/>
          <w:szCs w:val="21"/>
          <w:highlight w:val="none"/>
        </w:rPr>
        <w:t>位置，</w:t>
      </w:r>
      <w:r>
        <w:rPr>
          <w:rFonts w:hint="eastAsia" w:ascii="宋体" w:hAnsi="宋体" w:eastAsia="宋体" w:cs="宋体"/>
          <w:color w:val="auto"/>
          <w:kern w:val="0"/>
          <w:sz w:val="21"/>
          <w:szCs w:val="21"/>
          <w:highlight w:val="none"/>
          <w:lang w:val="en-US" w:eastAsia="zh-CN"/>
        </w:rPr>
        <w:t>消除故障</w:t>
      </w:r>
      <w:r>
        <w:rPr>
          <w:rFonts w:hint="eastAsia" w:ascii="宋体" w:hAnsi="宋体" w:eastAsia="宋体" w:cs="宋体"/>
          <w:color w:val="auto"/>
          <w:kern w:val="0"/>
          <w:sz w:val="21"/>
          <w:szCs w:val="21"/>
          <w:highlight w:val="none"/>
        </w:rPr>
        <w:t>。</w:t>
      </w:r>
    </w:p>
    <w:p w14:paraId="6F9C4B56">
      <w:pPr>
        <w:spacing w:line="360" w:lineRule="auto"/>
        <w:ind w:firstLine="420" w:firstLineChars="2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3.保修期（质保期）内主要提供定期的客户查询，询问器材的使用情况、完好情况。一般每1－2个月一次。确有质量问题的，按第八条</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款进行服务，</w:t>
      </w:r>
      <w:r>
        <w:rPr>
          <w:rFonts w:hint="eastAsia" w:ascii="宋体" w:hAnsi="宋体" w:eastAsia="宋体" w:cs="宋体"/>
          <w:color w:val="auto"/>
          <w:kern w:val="0"/>
          <w:sz w:val="21"/>
          <w:szCs w:val="21"/>
          <w:highlight w:val="none"/>
          <w:lang w:val="en-US" w:eastAsia="zh-CN"/>
        </w:rPr>
        <w:t>且</w:t>
      </w:r>
      <w:r>
        <w:rPr>
          <w:rFonts w:hint="eastAsia" w:ascii="宋体" w:hAnsi="宋体" w:eastAsia="宋体" w:cs="宋体"/>
          <w:color w:val="auto"/>
          <w:kern w:val="0"/>
          <w:sz w:val="21"/>
          <w:szCs w:val="21"/>
          <w:highlight w:val="none"/>
        </w:rPr>
        <w:t>免费。</w:t>
      </w:r>
    </w:p>
    <w:p w14:paraId="4A9321B2">
      <w:pPr>
        <w:spacing w:line="360" w:lineRule="auto"/>
        <w:ind w:firstLine="420" w:firstLineChars="200"/>
        <w:jc w:val="left"/>
        <w:textAlignment w:val="top"/>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4.保修期（质保期）外乙方应继续按第八条规定提供服务，安排销售人员对甲方进行走访，维修只收</w:t>
      </w:r>
      <w:r>
        <w:rPr>
          <w:rFonts w:hint="eastAsia" w:ascii="宋体" w:hAnsi="宋体" w:eastAsia="宋体" w:cs="宋体"/>
          <w:color w:val="auto"/>
          <w:kern w:val="0"/>
          <w:sz w:val="21"/>
          <w:szCs w:val="21"/>
          <w:highlight w:val="none"/>
          <w:lang w:val="en-US" w:eastAsia="zh-CN"/>
        </w:rPr>
        <w:t>成本</w:t>
      </w:r>
      <w:r>
        <w:rPr>
          <w:rFonts w:hint="eastAsia" w:ascii="宋体" w:hAnsi="宋体" w:eastAsia="宋体" w:cs="宋体"/>
          <w:color w:val="auto"/>
          <w:kern w:val="0"/>
          <w:sz w:val="21"/>
          <w:szCs w:val="21"/>
          <w:highlight w:val="none"/>
        </w:rPr>
        <w:t>费。对临界使用寿命的或严重毁损的器材提醒及时报废。</w:t>
      </w:r>
    </w:p>
    <w:p w14:paraId="5D850CEC">
      <w:pPr>
        <w:spacing w:after="120"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5.乙方未能按照本条协议约定履行其售后服务义务及第七条质量保证义务的，应当向甲方支付违约金5000元/次，同时甲方有权聘请第三方进行维修</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更换</w:t>
      </w:r>
      <w:r>
        <w:rPr>
          <w:rFonts w:hint="eastAsia" w:ascii="宋体" w:hAnsi="宋体" w:eastAsia="宋体" w:cs="宋体"/>
          <w:color w:val="auto"/>
          <w:kern w:val="0"/>
          <w:sz w:val="21"/>
          <w:szCs w:val="21"/>
          <w:highlight w:val="none"/>
        </w:rPr>
        <w:t>，产生的费用：质保期内由乙方承担</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质保期外按第八条</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款</w:t>
      </w:r>
      <w:r>
        <w:rPr>
          <w:rFonts w:hint="eastAsia" w:ascii="宋体" w:hAnsi="宋体" w:eastAsia="宋体" w:cs="宋体"/>
          <w:color w:val="auto"/>
          <w:kern w:val="0"/>
          <w:sz w:val="21"/>
          <w:szCs w:val="21"/>
          <w:highlight w:val="none"/>
          <w:lang w:val="en-US" w:eastAsia="zh-CN"/>
        </w:rPr>
        <w:t>执行</w:t>
      </w:r>
      <w:r>
        <w:rPr>
          <w:rFonts w:hint="eastAsia" w:ascii="宋体" w:hAnsi="宋体" w:eastAsia="宋体" w:cs="宋体"/>
          <w:color w:val="auto"/>
          <w:kern w:val="0"/>
          <w:sz w:val="21"/>
          <w:szCs w:val="21"/>
          <w:highlight w:val="none"/>
        </w:rPr>
        <w:t>。第三方的维修行为不排除乙方之后的质保、维修责任。</w:t>
      </w:r>
    </w:p>
    <w:p w14:paraId="51F1E3EE">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十</w:t>
      </w:r>
      <w:r>
        <w:rPr>
          <w:rFonts w:hint="eastAsia" w:ascii="宋体" w:hAnsi="宋体" w:eastAsia="宋体" w:cs="宋体"/>
          <w:b/>
          <w:bCs/>
          <w:color w:val="auto"/>
          <w:kern w:val="0"/>
          <w:sz w:val="21"/>
          <w:szCs w:val="21"/>
          <w:highlight w:val="none"/>
        </w:rPr>
        <w:t>、乙方提供技术与服务</w:t>
      </w:r>
    </w:p>
    <w:p w14:paraId="3F3528A0">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随同货物提供相应的中文技术文件（包括产品合格证、装箱清单、操作手册、使用说明、检测报告、维护手册、服务指南等资料）；</w:t>
      </w:r>
    </w:p>
    <w:p w14:paraId="356F5D54">
      <w:pPr>
        <w:spacing w:line="360" w:lineRule="auto"/>
        <w:ind w:firstLine="48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 xml:space="preserve">现场安装、调试、试运行技术保障服务； </w:t>
      </w:r>
    </w:p>
    <w:p w14:paraId="23EC8181">
      <w:pPr>
        <w:spacing w:line="360" w:lineRule="auto"/>
        <w:ind w:firstLine="48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3.乙方配备不少于2名技术支持人员、3名应急人员、5名售后服务人员及5名培训人员（拟派人员不限于投标人或所投产品生产厂家的人员，须提供人员技术能力的证明材料）。</w:t>
      </w:r>
    </w:p>
    <w:p w14:paraId="54B48639">
      <w:pPr>
        <w:spacing w:line="360" w:lineRule="auto"/>
        <w:ind w:firstLine="48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4.货物交付至甲方指定地点后，乙方须协助完成验收。</w:t>
      </w:r>
    </w:p>
    <w:p w14:paraId="72F256F1">
      <w:pPr>
        <w:spacing w:line="360" w:lineRule="auto"/>
        <w:ind w:firstLine="48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5.采购货物由乙方集中交付至甲方指定地点进行验收，验收完成后由乙方负责运送至甲方指定使用地点，不接受采用物流、快递等方式交付货物。</w:t>
      </w:r>
    </w:p>
    <w:p w14:paraId="46F98497">
      <w:pPr>
        <w:spacing w:line="360" w:lineRule="auto"/>
        <w:ind w:firstLine="48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6.乙方需围绕产品使用功能、维护保养、应急处置等内容，组织不少于2次培训、2次应急演练。</w:t>
      </w:r>
    </w:p>
    <w:p w14:paraId="0BE6296A">
      <w:pPr>
        <w:spacing w:line="360" w:lineRule="auto"/>
        <w:ind w:firstLine="480"/>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7.质保期内，乙方须组织一年不少于2次的定期巡检。</w:t>
      </w:r>
    </w:p>
    <w:p w14:paraId="753C408F">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十</w:t>
      </w:r>
      <w:r>
        <w:rPr>
          <w:rFonts w:hint="eastAsia" w:ascii="宋体" w:hAnsi="宋体" w:eastAsia="宋体" w:cs="宋体"/>
          <w:b/>
          <w:bCs/>
          <w:color w:val="auto"/>
          <w:kern w:val="0"/>
          <w:sz w:val="21"/>
          <w:szCs w:val="21"/>
          <w:highlight w:val="none"/>
          <w:lang w:eastAsia="zh-CN"/>
        </w:rPr>
        <w:t>一</w:t>
      </w:r>
      <w:r>
        <w:rPr>
          <w:rFonts w:hint="eastAsia" w:ascii="宋体" w:hAnsi="宋体" w:eastAsia="宋体" w:cs="宋体"/>
          <w:b/>
          <w:bCs/>
          <w:color w:val="auto"/>
          <w:kern w:val="0"/>
          <w:sz w:val="21"/>
          <w:szCs w:val="21"/>
          <w:highlight w:val="none"/>
        </w:rPr>
        <w:t>、违约责任</w:t>
      </w:r>
    </w:p>
    <w:p w14:paraId="1555B9FE">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按《中华人民共和国民法典》中的相关条款执行。</w:t>
      </w:r>
    </w:p>
    <w:p w14:paraId="33062A64">
      <w:pPr>
        <w:spacing w:line="360" w:lineRule="auto"/>
        <w:ind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2.甲方违反合同规定拒绝收货的，应当承担由此对乙方造成的损失。</w:t>
      </w:r>
    </w:p>
    <w:p w14:paraId="7CC4AAF9">
      <w:pPr>
        <w:spacing w:line="360" w:lineRule="auto"/>
        <w:ind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3.乙方不能按期交货的，每逾期 1 日，乙方应向甲方赔付合同总金额的 1%作为违约金，乙方超过 7 日不能交货的，甲方有权从其他渠道获取，由此产生的费用由乙方承担。</w:t>
      </w:r>
    </w:p>
    <w:p w14:paraId="3C06A619">
      <w:pPr>
        <w:spacing w:line="360" w:lineRule="auto"/>
        <w:ind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4.乙方所交货物超过 3 次不符合甲方验收要求或超过 15 日不能交货的，甲方有权解除 采购合同，乙方需按合同总金额的 30%向甲方支付违约金，并承担由此产生的费用和一切责任。</w:t>
      </w:r>
    </w:p>
    <w:p w14:paraId="3C9529A4">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十</w:t>
      </w:r>
      <w:r>
        <w:rPr>
          <w:rFonts w:hint="eastAsia" w:ascii="宋体" w:hAnsi="宋体" w:eastAsia="宋体" w:cs="宋体"/>
          <w:b/>
          <w:bCs/>
          <w:color w:val="auto"/>
          <w:kern w:val="0"/>
          <w:sz w:val="21"/>
          <w:szCs w:val="21"/>
          <w:highlight w:val="none"/>
          <w:lang w:eastAsia="zh-CN"/>
        </w:rPr>
        <w:t>二</w:t>
      </w:r>
      <w:r>
        <w:rPr>
          <w:rFonts w:hint="eastAsia" w:ascii="宋体" w:hAnsi="宋体" w:eastAsia="宋体" w:cs="宋体"/>
          <w:b/>
          <w:bCs/>
          <w:color w:val="auto"/>
          <w:kern w:val="0"/>
          <w:sz w:val="21"/>
          <w:szCs w:val="21"/>
          <w:highlight w:val="none"/>
        </w:rPr>
        <w:t>、验收</w:t>
      </w:r>
    </w:p>
    <w:p w14:paraId="013BA211">
      <w:pPr>
        <w:spacing w:line="360" w:lineRule="auto"/>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符合采购文件和乙方</w:t>
      </w:r>
      <w:r>
        <w:rPr>
          <w:rFonts w:hint="eastAsia" w:ascii="宋体" w:hAnsi="宋体" w:eastAsia="宋体" w:cs="宋体"/>
          <w:color w:val="auto"/>
          <w:kern w:val="0"/>
          <w:sz w:val="21"/>
          <w:szCs w:val="21"/>
          <w:highlight w:val="none"/>
          <w:lang w:val="en-US" w:eastAsia="zh-CN"/>
        </w:rPr>
        <w:t>投标</w:t>
      </w:r>
      <w:r>
        <w:rPr>
          <w:rFonts w:hint="eastAsia" w:ascii="宋体" w:hAnsi="宋体" w:eastAsia="宋体" w:cs="宋体"/>
          <w:color w:val="auto"/>
          <w:kern w:val="0"/>
          <w:sz w:val="21"/>
          <w:szCs w:val="21"/>
          <w:highlight w:val="none"/>
        </w:rPr>
        <w:t>文件标准和要求以及国家相关技术标准，由专家小组进行评审，经过专家小组评审后一致认为已达到要求视为合格</w:t>
      </w:r>
      <w:r>
        <w:rPr>
          <w:rFonts w:hint="eastAsia" w:ascii="宋体" w:hAnsi="宋体" w:eastAsia="宋体" w:cs="宋体"/>
          <w:color w:val="auto"/>
          <w:kern w:val="0"/>
          <w:sz w:val="21"/>
          <w:szCs w:val="21"/>
          <w:highlight w:val="none"/>
          <w:lang w:eastAsia="zh-CN"/>
        </w:rPr>
        <w:t>。</w:t>
      </w:r>
    </w:p>
    <w:p w14:paraId="2B48D8A7">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十</w:t>
      </w:r>
      <w:r>
        <w:rPr>
          <w:rFonts w:hint="eastAsia" w:ascii="宋体" w:hAnsi="宋体" w:eastAsia="宋体" w:cs="宋体"/>
          <w:b/>
          <w:bCs/>
          <w:color w:val="auto"/>
          <w:kern w:val="0"/>
          <w:sz w:val="21"/>
          <w:szCs w:val="21"/>
          <w:highlight w:val="none"/>
          <w:lang w:eastAsia="zh-CN"/>
        </w:rPr>
        <w:t>三</w:t>
      </w:r>
      <w:r>
        <w:rPr>
          <w:rFonts w:hint="eastAsia" w:ascii="宋体" w:hAnsi="宋体" w:eastAsia="宋体" w:cs="宋体"/>
          <w:b/>
          <w:bCs/>
          <w:color w:val="auto"/>
          <w:kern w:val="0"/>
          <w:sz w:val="21"/>
          <w:szCs w:val="21"/>
          <w:highlight w:val="none"/>
        </w:rPr>
        <w:t>、合同争议解决的方式</w:t>
      </w:r>
    </w:p>
    <w:p w14:paraId="448AB10A">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本合同在履行过程中发生的争议，由甲、</w:t>
      </w:r>
      <w:bookmarkStart w:id="0" w:name="_GoBack"/>
      <w:bookmarkEnd w:id="0"/>
      <w:r>
        <w:rPr>
          <w:rFonts w:hint="eastAsia" w:ascii="宋体" w:hAnsi="宋体" w:eastAsia="宋体" w:cs="宋体"/>
          <w:color w:val="auto"/>
          <w:kern w:val="0"/>
          <w:sz w:val="21"/>
          <w:szCs w:val="21"/>
          <w:highlight w:val="none"/>
          <w:lang w:val="en-US" w:eastAsia="zh-CN"/>
        </w:rPr>
        <w:t>乙双方当事人协商解决；协商不成的依法向甲方所在地法院起诉。</w:t>
      </w:r>
    </w:p>
    <w:p w14:paraId="3FAB056D">
      <w:pPr>
        <w:spacing w:line="360" w:lineRule="auto"/>
        <w:ind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十</w:t>
      </w:r>
      <w:r>
        <w:rPr>
          <w:rFonts w:hint="eastAsia" w:ascii="宋体" w:hAnsi="宋体" w:eastAsia="宋体" w:cs="宋体"/>
          <w:b/>
          <w:bCs/>
          <w:color w:val="auto"/>
          <w:kern w:val="0"/>
          <w:sz w:val="21"/>
          <w:szCs w:val="21"/>
          <w:highlight w:val="none"/>
          <w:lang w:eastAsia="zh-CN"/>
        </w:rPr>
        <w:t>四</w:t>
      </w:r>
      <w:r>
        <w:rPr>
          <w:rFonts w:hint="eastAsia" w:ascii="宋体" w:hAnsi="宋体" w:eastAsia="宋体" w:cs="宋体"/>
          <w:b/>
          <w:bCs/>
          <w:color w:val="auto"/>
          <w:kern w:val="0"/>
          <w:sz w:val="21"/>
          <w:szCs w:val="21"/>
          <w:highlight w:val="none"/>
        </w:rPr>
        <w:t>、其他事项</w:t>
      </w:r>
    </w:p>
    <w:p w14:paraId="587D75AD">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招标文件、投标文件、澄清表（函）、合同附件均为合同不可分割的部分。</w:t>
      </w:r>
    </w:p>
    <w:p w14:paraId="3F745E8D">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合同未尽事宜，由甲、乙双方协商，另行签订补充合同，为本合同有效组成部分。</w:t>
      </w:r>
    </w:p>
    <w:p w14:paraId="4CCC7641">
      <w:pPr>
        <w:spacing w:line="360" w:lineRule="auto"/>
        <w:ind w:firstLine="315" w:firstLineChars="15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本合同一式</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份，甲方、乙方各执</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份，乙方合同签订完毕送壹份至招标代理机构备案。经甲乙双方法定代表人或委托代理人签字并加盖公章或合同专用章</w:t>
      </w:r>
      <w:r>
        <w:rPr>
          <w:rFonts w:hint="eastAsia" w:ascii="宋体" w:hAnsi="宋体" w:eastAsia="宋体" w:cs="宋体"/>
          <w:color w:val="auto"/>
          <w:kern w:val="0"/>
          <w:sz w:val="21"/>
          <w:szCs w:val="21"/>
          <w:highlight w:val="none"/>
          <w:lang w:val="en-US" w:eastAsia="zh-CN"/>
        </w:rPr>
        <w:t>之日起</w:t>
      </w:r>
      <w:r>
        <w:rPr>
          <w:rFonts w:hint="eastAsia" w:ascii="宋体" w:hAnsi="宋体" w:eastAsia="宋体" w:cs="宋体"/>
          <w:color w:val="auto"/>
          <w:kern w:val="0"/>
          <w:sz w:val="21"/>
          <w:szCs w:val="21"/>
          <w:highlight w:val="none"/>
        </w:rPr>
        <w:t>生效。（合同的服务承诺则长期有效）。</w:t>
      </w:r>
    </w:p>
    <w:p w14:paraId="6E92C383">
      <w:p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w:t>
      </w:r>
    </w:p>
    <w:p w14:paraId="07D4AB5A">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br w:type="page"/>
      </w:r>
    </w:p>
    <w:p w14:paraId="05D8D419">
      <w:pPr>
        <w:spacing w:line="360" w:lineRule="auto"/>
        <w:rPr>
          <w:rFonts w:hint="eastAsia" w:ascii="宋体" w:hAnsi="宋体" w:eastAsia="宋体" w:cs="宋体"/>
          <w:color w:val="auto"/>
          <w:kern w:val="0"/>
          <w:sz w:val="21"/>
          <w:szCs w:val="21"/>
          <w:highlight w:val="none"/>
        </w:rPr>
      </w:pPr>
    </w:p>
    <w:p w14:paraId="1578D4CC">
      <w:pPr>
        <w:spacing w:line="360" w:lineRule="auto"/>
        <w:ind w:left="5712" w:leftChars="20" w:hanging="5670" w:hangingChars="27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甲      方：                         乙      方：                     </w:t>
      </w:r>
    </w:p>
    <w:p w14:paraId="2D738E71">
      <w:pPr>
        <w:spacing w:line="360" w:lineRule="auto"/>
        <w:ind w:left="5206" w:leftChars="29" w:hanging="5145" w:hangingChars="245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地      址：                         地      址：                      </w:t>
      </w:r>
    </w:p>
    <w:p w14:paraId="50D5792E">
      <w:pPr>
        <w:spacing w:line="360" w:lineRule="auto"/>
        <w:ind w:firstLine="1260" w:firstLineChars="6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w:t>
      </w:r>
    </w:p>
    <w:p w14:paraId="76CD0568">
      <w:p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                           法定代表人：</w:t>
      </w:r>
    </w:p>
    <w:p w14:paraId="7F100C2F">
      <w:p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委托代理人：                           委托代理人：</w:t>
      </w:r>
    </w:p>
    <w:p w14:paraId="4ACB08F6">
      <w:pPr>
        <w:spacing w:line="360" w:lineRule="auto"/>
        <w:rPr>
          <w:rFonts w:hint="eastAsia" w:ascii="宋体" w:hAnsi="宋体" w:eastAsia="宋体" w:cs="宋体"/>
          <w:color w:val="auto"/>
          <w:spacing w:val="-10"/>
          <w:kern w:val="0"/>
          <w:sz w:val="21"/>
          <w:szCs w:val="21"/>
          <w:highlight w:val="none"/>
        </w:rPr>
      </w:pPr>
      <w:r>
        <w:rPr>
          <w:rFonts w:hint="eastAsia" w:ascii="宋体" w:hAnsi="宋体" w:eastAsia="宋体" w:cs="宋体"/>
          <w:color w:val="auto"/>
          <w:spacing w:val="-10"/>
          <w:kern w:val="0"/>
          <w:sz w:val="21"/>
          <w:szCs w:val="21"/>
          <w:highlight w:val="none"/>
        </w:rPr>
        <w:t>联 系 电 话</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spacing w:val="-10"/>
          <w:kern w:val="0"/>
          <w:sz w:val="21"/>
          <w:szCs w:val="21"/>
          <w:highlight w:val="none"/>
        </w:rPr>
        <w:t>联 系 电 话</w:t>
      </w:r>
      <w:r>
        <w:rPr>
          <w:rFonts w:hint="eastAsia" w:ascii="宋体" w:hAnsi="宋体" w:eastAsia="宋体" w:cs="宋体"/>
          <w:color w:val="auto"/>
          <w:kern w:val="0"/>
          <w:sz w:val="21"/>
          <w:szCs w:val="21"/>
          <w:highlight w:val="none"/>
        </w:rPr>
        <w:t xml:space="preserve">：                    </w:t>
      </w:r>
    </w:p>
    <w:p w14:paraId="5A523E6E">
      <w:pPr>
        <w:spacing w:line="360" w:lineRule="auto"/>
        <w:rPr>
          <w:rFonts w:hint="eastAsia" w:ascii="宋体" w:hAnsi="宋体" w:eastAsia="宋体" w:cs="宋体"/>
          <w:color w:val="auto"/>
          <w:spacing w:val="-10"/>
          <w:kern w:val="0"/>
          <w:sz w:val="21"/>
          <w:szCs w:val="21"/>
          <w:highlight w:val="none"/>
        </w:rPr>
      </w:pPr>
      <w:r>
        <w:rPr>
          <w:rFonts w:hint="eastAsia" w:ascii="宋体" w:hAnsi="宋体" w:eastAsia="宋体" w:cs="宋体"/>
          <w:color w:val="auto"/>
          <w:spacing w:val="-10"/>
          <w:kern w:val="0"/>
          <w:sz w:val="21"/>
          <w:szCs w:val="21"/>
          <w:highlight w:val="none"/>
        </w:rPr>
        <w:t>签 订 日 期：                                 签 订 日 期：</w:t>
      </w:r>
    </w:p>
    <w:p w14:paraId="3FC7A7E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汉仪劲楷简">
    <w:panose1 w:val="00020600040101010101"/>
    <w:charset w:val="86"/>
    <w:family w:val="auto"/>
    <w:pitch w:val="default"/>
    <w:sig w:usb0="A00002BF" w:usb1="18EF7CFA" w:usb2="00000016" w:usb3="00000000" w:csb0="00040000" w:csb1="00000000"/>
  </w:font>
  <w:font w:name="汉仪中宋简">
    <w:panose1 w:val="02010600000101010101"/>
    <w:charset w:val="80"/>
    <w:family w:val="auto"/>
    <w:pitch w:val="default"/>
    <w:sig w:usb0="800002BF" w:usb1="184F6CF8" w:usb2="00000012" w:usb3="00000000" w:csb0="00020001" w:csb1="00000000"/>
  </w:font>
  <w:font w:name="Calibri Light">
    <w:panose1 w:val="020F0302020204030204"/>
    <w:charset w:val="00"/>
    <w:family w:val="auto"/>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mNWFhODIwYmFhODhjMTAxMDg4ZWZiZWJhMjQ5NzkifQ=="/>
  </w:docVars>
  <w:rsids>
    <w:rsidRoot w:val="4152610C"/>
    <w:rsid w:val="03084246"/>
    <w:rsid w:val="4152610C"/>
    <w:rsid w:val="67F76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Plain Text"/>
    <w:basedOn w:val="1"/>
    <w:semiHidden/>
    <w:qFormat/>
    <w:uiPriority w:val="99"/>
    <w:rPr>
      <w:rFonts w:ascii="宋体" w:hAnsi="Courier New" w:cs="Courier New"/>
      <w:szCs w:val="21"/>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3746</Words>
  <Characters>3825</Characters>
  <Lines>0</Lines>
  <Paragraphs>0</Paragraphs>
  <TotalTime>0</TotalTime>
  <ScaleCrop>false</ScaleCrop>
  <LinksUpToDate>false</LinksUpToDate>
  <CharactersWithSpaces>4260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2025-09-19T04:49:00Z</dcterms:created>
  <dc:creator>Mmm</dc:creator>
  <cp:lastModifiedBy>Queen €</cp:lastModifiedBy>
  <dcterms:modified xsi:type="dcterms:W3CDTF">2025-11-18T07:50:02Z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5645D39DB35F48ABABB4F91834A278A2_11</vt:lpwstr>
  </property>
  <property fmtid="{D5CDD505-2E9C-101B-9397-08002B2CF9AE}" pid="4" name="KSOTemplateDocerSaveRecord">
    <vt:lpwstr>eyJoZGlkIjoiZDNlMGYyOTVhYjdlYzM1NTdhMmI1Mjk4NGRmMWI0NzIiLCJ1c2VySWQiOiI0NzQ4MzU5MjEifQ==</vt:lpwstr>
  </property>
</Properties>
</file>