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版本号：DQZ2025-CG-061.1B120260120001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蒲城县2025年中央水利发展资金水利工程设施维修养护（水质提升工程）(二次)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DQZ2025-CG-061.1B1</w:t>
      </w:r>
      <w:r>
        <w:br/>
      </w:r>
      <w:r>
        <w:br/>
      </w:r>
      <w:r>
        <w:br/>
      </w:r>
    </w:p>
    <w:p>
      <w:pPr>
        <w:pStyle w:val="null3"/>
        <w:jc w:val="center"/>
        <w:outlineLvl w:val="2"/>
      </w:pPr>
      <w:r>
        <w:rPr>
          <w:rFonts w:ascii="仿宋_GB2312" w:hAnsi="仿宋_GB2312" w:cs="仿宋_GB2312" w:eastAsia="仿宋_GB2312"/>
          <w:sz w:val="28"/>
          <w:b/>
        </w:rPr>
        <w:t>蒲城县水务局</w:t>
      </w:r>
    </w:p>
    <w:p>
      <w:pPr>
        <w:pStyle w:val="null3"/>
        <w:jc w:val="center"/>
        <w:outlineLvl w:val="2"/>
      </w:pPr>
      <w:r>
        <w:rPr>
          <w:rFonts w:ascii="仿宋_GB2312" w:hAnsi="仿宋_GB2312" w:cs="仿宋_GB2312" w:eastAsia="仿宋_GB2312"/>
          <w:sz w:val="28"/>
          <w:b/>
        </w:rPr>
        <w:t>陕西鼎启正建设项目管理有限公司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陕西鼎启正建设项目管理有限公司</w:t>
      </w:r>
      <w:r>
        <w:rPr>
          <w:rFonts w:ascii="仿宋_GB2312" w:hAnsi="仿宋_GB2312" w:cs="仿宋_GB2312" w:eastAsia="仿宋_GB2312"/>
        </w:rPr>
        <w:t>（以下简称“代理机构”）受</w:t>
      </w:r>
      <w:r>
        <w:rPr>
          <w:rFonts w:ascii="仿宋_GB2312" w:hAnsi="仿宋_GB2312" w:cs="仿宋_GB2312" w:eastAsia="仿宋_GB2312"/>
        </w:rPr>
        <w:t>蒲城县水务局</w:t>
      </w:r>
      <w:r>
        <w:rPr>
          <w:rFonts w:ascii="仿宋_GB2312" w:hAnsi="仿宋_GB2312" w:cs="仿宋_GB2312" w:eastAsia="仿宋_GB2312"/>
        </w:rPr>
        <w:t>委托，拟对</w:t>
      </w:r>
      <w:r>
        <w:rPr>
          <w:rFonts w:ascii="仿宋_GB2312" w:hAnsi="仿宋_GB2312" w:cs="仿宋_GB2312" w:eastAsia="仿宋_GB2312"/>
        </w:rPr>
        <w:t>蒲城县2025年中央水利发展资金水利工程设施维修养护（水质提升工程）(二次)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DQZ2025-CG-061.1B1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蒲城县2025年中央水利发展资金水利工程设施维修养护（水质提升工程）(二次)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完善供水站水质提升，提高水质达标率，本项目拟采购4套全自动次氯酸钠发生器、4套水质日检9项检测仪器设备；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采购包1（蒲城县2025年中央水利发展资金水利工程设施维修养护（水质提升工程））：属于专门面向中小企业采购。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1、营业执照：供应商为合法注册的法人、其他组织或自然人，具有独立承担民事责任的能力，提供统一社会信用代码的营业执照等证明文件；</w:t>
      </w:r>
    </w:p>
    <w:p>
      <w:pPr>
        <w:pStyle w:val="null3"/>
      </w:pPr>
      <w:r>
        <w:rPr>
          <w:rFonts w:ascii="仿宋_GB2312" w:hAnsi="仿宋_GB2312" w:cs="仿宋_GB2312" w:eastAsia="仿宋_GB2312"/>
        </w:rPr>
        <w:t>2、法定代表人身份证明书或授权委托书：提供法定代表人授权委托书（附法定代表人、被授权人身份证复印件）；法定代表人参加投标只须提供法定代表人身份证明（附法定代表人身份证复印件）；</w:t>
      </w:r>
    </w:p>
    <w:p>
      <w:pPr>
        <w:pStyle w:val="null3"/>
      </w:pPr>
      <w:r>
        <w:rPr>
          <w:rFonts w:ascii="仿宋_GB2312" w:hAnsi="仿宋_GB2312" w:cs="仿宋_GB2312" w:eastAsia="仿宋_GB2312"/>
        </w:rPr>
        <w:t>3、财务状况报告：提供2024年度经审计的财务报告或开标前近三个月内基本开户银行开具的资信证明（成立时间至提交投标文件截止时间不足一年的可提供成立后任意时段的财务报表）：</w:t>
      </w:r>
    </w:p>
    <w:p>
      <w:pPr>
        <w:pStyle w:val="null3"/>
      </w:pPr>
      <w:r>
        <w:rPr>
          <w:rFonts w:ascii="仿宋_GB2312" w:hAnsi="仿宋_GB2312" w:cs="仿宋_GB2312" w:eastAsia="仿宋_GB2312"/>
        </w:rPr>
        <w:t>4、税收缴纳证明：提供依法缴纳税收的良好记录（提供投标截止时间前六个月内任意一个月份的缴纳凭据复印件并加盖单位公章。依法免税或开标前一年内零申报的投标人应提供相关证明文件）</w:t>
      </w:r>
    </w:p>
    <w:p>
      <w:pPr>
        <w:pStyle w:val="null3"/>
      </w:pPr>
      <w:r>
        <w:rPr>
          <w:rFonts w:ascii="仿宋_GB2312" w:hAnsi="仿宋_GB2312" w:cs="仿宋_GB2312" w:eastAsia="仿宋_GB2312"/>
        </w:rPr>
        <w:t>5、社会保障资金缴纳证明：提供依法缴纳社会保障资金的良好记录（提供投标截止时间前六个月内任意一个月份的缴纳凭据复印件并加盖单位公章。依法不需要缴纳社会保障资金的投标人应提供相关证明文件）</w:t>
      </w:r>
    </w:p>
    <w:p>
      <w:pPr>
        <w:pStyle w:val="null3"/>
      </w:pPr>
      <w:r>
        <w:rPr>
          <w:rFonts w:ascii="仿宋_GB2312" w:hAnsi="仿宋_GB2312" w:cs="仿宋_GB2312" w:eastAsia="仿宋_GB2312"/>
        </w:rPr>
        <w:t>6、信用查询：投标截止日前不得为“信用中国”网站（www.creditchina.gov.cn）中列入失信被执行人、重大税收违法失信主体和政府采购严重违法失信行为记录名单的投标人；不得为“中国政府采购网”（www.ccgp.gov.cn）政府采购严重违法失信行为记录名单中被财政部门禁止参加政府采购活动的投标人。附网站相关截图并加盖单位公章（最终以采购代理机构开标现场查询结果为准）</w:t>
      </w:r>
    </w:p>
    <w:p>
      <w:pPr>
        <w:pStyle w:val="null3"/>
      </w:pPr>
      <w:r>
        <w:rPr>
          <w:rFonts w:ascii="仿宋_GB2312" w:hAnsi="仿宋_GB2312" w:cs="仿宋_GB2312" w:eastAsia="仿宋_GB2312"/>
        </w:rPr>
        <w:t>7、声明函：提供近三年内在经营活动中无重大违法记录的书面声明：</w:t>
      </w:r>
    </w:p>
    <w:p>
      <w:pPr>
        <w:pStyle w:val="null3"/>
      </w:pPr>
      <w:r>
        <w:rPr>
          <w:rFonts w:ascii="仿宋_GB2312" w:hAnsi="仿宋_GB2312" w:cs="仿宋_GB2312" w:eastAsia="仿宋_GB2312"/>
        </w:rPr>
        <w:t>8、具有履行合同的声明：提供具有履行本合同所必需的设备和专业技术能力的说明及承诺；</w:t>
      </w:r>
    </w:p>
    <w:p>
      <w:pPr>
        <w:pStyle w:val="null3"/>
      </w:pPr>
      <w:r>
        <w:rPr>
          <w:rFonts w:ascii="仿宋_GB2312" w:hAnsi="仿宋_GB2312" w:cs="仿宋_GB2312" w:eastAsia="仿宋_GB2312"/>
        </w:rPr>
        <w:t>9、资质要求：投标人为生产厂家的须具备有效的涉水产品卫生许可批件；投标人为代理经销商的，须提供生产厂家的有效的涉水产品卫生许可批件（核心产品）。</w:t>
      </w:r>
    </w:p>
    <w:p>
      <w:pPr>
        <w:pStyle w:val="null3"/>
      </w:pPr>
      <w:r>
        <w:rPr>
          <w:rFonts w:ascii="仿宋_GB2312" w:hAnsi="仿宋_GB2312" w:cs="仿宋_GB2312" w:eastAsia="仿宋_GB2312"/>
        </w:rPr>
        <w:t>10、保证金转账凭证：提供投标保证金银行转账凭证及基本账户信息复印件，复印件均须加盖公章：</w:t>
      </w:r>
    </w:p>
    <w:p>
      <w:pPr>
        <w:pStyle w:val="null3"/>
      </w:pPr>
      <w:r>
        <w:rPr>
          <w:rFonts w:ascii="仿宋_GB2312" w:hAnsi="仿宋_GB2312" w:cs="仿宋_GB2312" w:eastAsia="仿宋_GB2312"/>
        </w:rPr>
        <w:t>11、声明函：本项目专门面向中小企业采购，投标人须提供《中小企业声明函》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蒲城县水务局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陕西省渭南市蒲城县西府巷6号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代博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15191315444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陕西鼎启正建设项目管理有限公司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陕西省西安市未央区陕西省西安市经济技术开发区凤城四路103号世融嘉轩21号楼世融国际1405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15619641719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开户名称：陕西鼎启正建设项目管理有限公司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银行账号：707011580000215539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蒲城县水务局</w:t>
      </w:r>
      <w:r>
        <w:rPr>
          <w:rFonts w:ascii="仿宋_GB2312" w:hAnsi="仿宋_GB2312" w:cs="仿宋_GB2312" w:eastAsia="仿宋_GB2312"/>
        </w:rPr>
        <w:t>和</w:t>
      </w:r>
      <w:r>
        <w:rPr>
          <w:rFonts w:ascii="仿宋_GB2312" w:hAnsi="仿宋_GB2312" w:cs="仿宋_GB2312" w:eastAsia="仿宋_GB2312"/>
        </w:rPr>
        <w:t>陕西鼎启正建设项目管理有限公司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蒲城县水务局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陕西鼎启正建设项目管理有限公司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蒲城县水务局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陕西鼎启正建设项目管理有限公司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1.所供产品的规格、数量符合采购文件、供应商承诺及采购合同约定的要求。 2.所有货物均已运输至指定地点，并安装调试完毕。 3.采购文件、供应商承诺及采购合同约定的附件、工具、技术资料等齐全；提供产品使用说明书、合格证。 验收方法：初验：货物到达交货地点后，由使用单位根据合同对货物的名称、品牌、规格、型号、产地、数量进行检查。 终验：所有货物(货物)安装、调试完毕，正常使用30个日历日后，由采购人进行终验（最终验收），合格后签发《终验合格单》。 验收不合格的中标单位，必须在接到通知后7个日历日内确保货物通过验收。如接到通知后7个日历日内验收仍不合格，采购人可提出索赔或取消其供货合同。采购人或采购代理机构将把中标资格授予评审排序下一名的中标单位。</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陕西鼎启正建设项目管理有限公司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陕西鼎启正建设项目管理有限公司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陕西鼎启正建设项目管理有限公司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联系人：彭统贤</w:t>
      </w:r>
    </w:p>
    <w:p>
      <w:pPr>
        <w:pStyle w:val="null3"/>
      </w:pPr>
      <w:r>
        <w:rPr>
          <w:rFonts w:ascii="仿宋_GB2312" w:hAnsi="仿宋_GB2312" w:cs="仿宋_GB2312" w:eastAsia="仿宋_GB2312"/>
        </w:rPr>
        <w:t>联系电话：18049361409</w:t>
      </w:r>
    </w:p>
    <w:p>
      <w:pPr>
        <w:pStyle w:val="null3"/>
      </w:pPr>
      <w:r>
        <w:rPr>
          <w:rFonts w:ascii="仿宋_GB2312" w:hAnsi="仿宋_GB2312" w:cs="仿宋_GB2312" w:eastAsia="仿宋_GB2312"/>
        </w:rPr>
        <w:t>地址：陕西省西安市经济技术开发区凤城四路103号世融嘉轩21号楼世融国际1405</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完善供水站水质提升，提高水质达标率，本项目拟采购4套全自动次氯酸钠发生器、4套水质日检9项检测仪器设备；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2025年中央水利发展资金水利工程设施维修养护（水质提升工程）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标的名称：2025年中央水利发展资金水利工程设施维修养护（水质提升工程）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次氯酸钠发生器（核心产品）：</w:t>
            </w:r>
          </w:p>
          <w:p>
            <w:pPr>
              <w:pStyle w:val="null3"/>
              <w:jc w:val="both"/>
            </w:pPr>
            <w:r>
              <w:rPr>
                <w:rFonts w:ascii="仿宋_GB2312" w:hAnsi="仿宋_GB2312" w:cs="仿宋_GB2312" w:eastAsia="仿宋_GB2312"/>
                <w:sz w:val="18"/>
              </w:rPr>
              <w:t xml:space="preserve"> 1、</w:t>
            </w:r>
            <w:r>
              <w:rPr>
                <w:rFonts w:ascii="仿宋_GB2312" w:hAnsi="仿宋_GB2312" w:cs="仿宋_GB2312" w:eastAsia="仿宋_GB2312"/>
                <w:sz w:val="18"/>
              </w:rPr>
              <w:t>主机制备氯产量200g/h,N=1.25kW,电解槽1只；</w:t>
            </w:r>
          </w:p>
          <w:p>
            <w:pPr>
              <w:pStyle w:val="null3"/>
              <w:jc w:val="both"/>
            </w:pPr>
            <w:r>
              <w:rPr>
                <w:rFonts w:ascii="仿宋_GB2312" w:hAnsi="仿宋_GB2312" w:cs="仿宋_GB2312" w:eastAsia="仿宋_GB2312"/>
                <w:sz w:val="18"/>
              </w:rPr>
              <w:t>2、电解电源，</w:t>
            </w:r>
            <w:r>
              <w:rPr>
                <w:rFonts w:ascii="仿宋_GB2312" w:hAnsi="仿宋_GB2312" w:cs="仿宋_GB2312" w:eastAsia="仿宋_GB2312"/>
                <w:sz w:val="18"/>
              </w:rPr>
              <w:t>220VAC，1KW ,1套；</w:t>
            </w:r>
          </w:p>
          <w:p>
            <w:pPr>
              <w:pStyle w:val="null3"/>
              <w:jc w:val="both"/>
            </w:pPr>
            <w:r>
              <w:rPr>
                <w:rFonts w:ascii="仿宋_GB2312" w:hAnsi="仿宋_GB2312" w:cs="仿宋_GB2312" w:eastAsia="仿宋_GB2312"/>
                <w:sz w:val="18"/>
              </w:rPr>
              <w:t>3、溶盐系统，溶盐箱，</w:t>
            </w:r>
            <w:r>
              <w:rPr>
                <w:rFonts w:ascii="仿宋_GB2312" w:hAnsi="仿宋_GB2312" w:cs="仿宋_GB2312" w:eastAsia="仿宋_GB2312"/>
                <w:sz w:val="18"/>
              </w:rPr>
              <w:t>PVC材质，配套盐水泵，最大流量:25L/min,最大扬程：2m，功率26W及安装附件1套；</w:t>
            </w:r>
          </w:p>
          <w:p>
            <w:pPr>
              <w:pStyle w:val="null3"/>
              <w:jc w:val="both"/>
            </w:pPr>
            <w:r>
              <w:rPr>
                <w:rFonts w:ascii="仿宋_GB2312" w:hAnsi="仿宋_GB2312" w:cs="仿宋_GB2312" w:eastAsia="仿宋_GB2312"/>
                <w:sz w:val="18"/>
              </w:rPr>
              <w:t>4、加氯投加泵</w:t>
            </w:r>
            <w:r>
              <w:rPr>
                <w:rFonts w:ascii="仿宋_GB2312" w:hAnsi="仿宋_GB2312" w:cs="仿宋_GB2312" w:eastAsia="仿宋_GB2312"/>
                <w:sz w:val="18"/>
              </w:rPr>
              <w:t>62L/h，40W, 1台；</w:t>
            </w:r>
          </w:p>
          <w:p>
            <w:pPr>
              <w:pStyle w:val="null3"/>
              <w:jc w:val="both"/>
            </w:pPr>
            <w:r>
              <w:rPr>
                <w:rFonts w:ascii="仿宋_GB2312" w:hAnsi="仿宋_GB2312" w:cs="仿宋_GB2312" w:eastAsia="仿宋_GB2312"/>
                <w:sz w:val="18"/>
              </w:rPr>
              <w:t>5、溶盐水流量计，量程</w:t>
            </w:r>
            <w:r>
              <w:rPr>
                <w:rFonts w:ascii="仿宋_GB2312" w:hAnsi="仿宋_GB2312" w:cs="仿宋_GB2312" w:eastAsia="仿宋_GB2312"/>
                <w:sz w:val="18"/>
              </w:rPr>
              <w:t>16~160ml/min 1台；</w:t>
            </w:r>
          </w:p>
          <w:p>
            <w:pPr>
              <w:pStyle w:val="null3"/>
              <w:jc w:val="both"/>
            </w:pPr>
            <w:r>
              <w:rPr>
                <w:rFonts w:ascii="仿宋_GB2312" w:hAnsi="仿宋_GB2312" w:cs="仿宋_GB2312" w:eastAsia="仿宋_GB2312"/>
                <w:sz w:val="18"/>
              </w:rPr>
              <w:t>6、次氯酸钠储液罐，</w:t>
            </w:r>
            <w:r>
              <w:rPr>
                <w:rFonts w:ascii="仿宋_GB2312" w:hAnsi="仿宋_GB2312" w:cs="仿宋_GB2312" w:eastAsia="仿宋_GB2312"/>
                <w:sz w:val="18"/>
              </w:rPr>
              <w:t>PVC材质，配套高中低液位信号及投加泵缺液保护 1套；</w:t>
            </w:r>
          </w:p>
          <w:p>
            <w:pPr>
              <w:pStyle w:val="null3"/>
              <w:jc w:val="both"/>
            </w:pPr>
            <w:r>
              <w:rPr>
                <w:rFonts w:ascii="仿宋_GB2312" w:hAnsi="仿宋_GB2312" w:cs="仿宋_GB2312" w:eastAsia="仿宋_GB2312"/>
                <w:sz w:val="18"/>
              </w:rPr>
              <w:t>7、清水箱，</w:t>
            </w:r>
            <w:r>
              <w:rPr>
                <w:rFonts w:ascii="仿宋_GB2312" w:hAnsi="仿宋_GB2312" w:cs="仿宋_GB2312" w:eastAsia="仿宋_GB2312"/>
                <w:sz w:val="18"/>
              </w:rPr>
              <w:t>PVC材质，配套配套低液位传感器、过滤器、补水阀 1套 ；</w:t>
            </w:r>
          </w:p>
          <w:p>
            <w:pPr>
              <w:pStyle w:val="null3"/>
              <w:jc w:val="both"/>
            </w:pPr>
            <w:r>
              <w:rPr>
                <w:rFonts w:ascii="仿宋_GB2312" w:hAnsi="仿宋_GB2312" w:cs="仿宋_GB2312" w:eastAsia="仿宋_GB2312"/>
                <w:sz w:val="18"/>
              </w:rPr>
              <w:t>8、余氯在线分析仪，量程</w:t>
            </w:r>
            <w:r>
              <w:rPr>
                <w:rFonts w:ascii="仿宋_GB2312" w:hAnsi="仿宋_GB2312" w:cs="仿宋_GB2312" w:eastAsia="仿宋_GB2312"/>
                <w:sz w:val="18"/>
              </w:rPr>
              <w:t>0~5mg/L,7寸彩色屏，响应时间小于120秒，样品流速不小于400 mL/min ，4~20ma输出,1台 ；</w:t>
            </w:r>
          </w:p>
          <w:p>
            <w:pPr>
              <w:pStyle w:val="null3"/>
              <w:jc w:val="both"/>
            </w:pPr>
            <w:r>
              <w:rPr>
                <w:rFonts w:ascii="仿宋_GB2312" w:hAnsi="仿宋_GB2312" w:cs="仿宋_GB2312" w:eastAsia="仿宋_GB2312"/>
                <w:sz w:val="18"/>
              </w:rPr>
              <w:t>9、稀释水流量计，量程</w:t>
            </w:r>
            <w:r>
              <w:rPr>
                <w:rFonts w:ascii="仿宋_GB2312" w:hAnsi="仿宋_GB2312" w:cs="仿宋_GB2312" w:eastAsia="仿宋_GB2312"/>
                <w:sz w:val="18"/>
              </w:rPr>
              <w:t>16~160ml/min 1台</w:t>
            </w:r>
          </w:p>
          <w:p>
            <w:pPr>
              <w:pStyle w:val="null3"/>
              <w:jc w:val="both"/>
            </w:pPr>
            <w:r>
              <w:rPr>
                <w:rFonts w:ascii="仿宋_GB2312" w:hAnsi="仿宋_GB2312" w:cs="仿宋_GB2312" w:eastAsia="仿宋_GB2312"/>
                <w:sz w:val="18"/>
              </w:rPr>
              <w:t>10、配套控制系统</w:t>
            </w:r>
            <w:r>
              <w:rPr>
                <w:rFonts w:ascii="仿宋_GB2312" w:hAnsi="仿宋_GB2312" w:cs="仿宋_GB2312" w:eastAsia="仿宋_GB2312"/>
                <w:sz w:val="18"/>
              </w:rPr>
              <w:t>1套 ；</w:t>
            </w:r>
          </w:p>
          <w:p>
            <w:pPr>
              <w:pStyle w:val="null3"/>
              <w:jc w:val="both"/>
            </w:pPr>
            <w:r>
              <w:rPr>
                <w:rFonts w:ascii="仿宋_GB2312" w:hAnsi="仿宋_GB2312" w:cs="仿宋_GB2312" w:eastAsia="仿宋_GB2312"/>
                <w:sz w:val="18"/>
              </w:rPr>
              <w:t>11、配套阀门管件</w:t>
            </w:r>
            <w:r>
              <w:rPr>
                <w:rFonts w:ascii="仿宋_GB2312" w:hAnsi="仿宋_GB2312" w:cs="仿宋_GB2312" w:eastAsia="仿宋_GB2312"/>
                <w:sz w:val="18"/>
              </w:rPr>
              <w:t>1套</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b/>
                <w:color w:val="000000"/>
              </w:rPr>
              <w:t>用于自来水出厂水浑浊度、色度、臭和味、肉眼可见物、高锰酸盐指数、菌落总数、总大肠菌群、氨</w:t>
            </w:r>
            <w:r>
              <w:rPr>
                <w:rFonts w:ascii="仿宋_GB2312" w:hAnsi="仿宋_GB2312" w:cs="仿宋_GB2312" w:eastAsia="仿宋_GB2312"/>
                <w:sz w:val="18"/>
                <w:b/>
                <w:color w:val="000000"/>
              </w:rPr>
              <w:t>(以N计）、游离氯９项指标的日常检测。</w:t>
            </w:r>
          </w:p>
          <w:p>
            <w:pPr>
              <w:pStyle w:val="null3"/>
              <w:jc w:val="both"/>
            </w:pPr>
            <w:r>
              <w:rPr>
                <w:rFonts w:ascii="仿宋_GB2312" w:hAnsi="仿宋_GB2312" w:cs="仿宋_GB2312" w:eastAsia="仿宋_GB2312"/>
                <w:sz w:val="18"/>
                <w:color w:val="000000"/>
              </w:rPr>
              <w:t>1、吸光度线性误差，吸光度≤0.100：不超过±0.008；吸光度 0.101~0.300：不超过±8.0％；吸光度 0.301~0.600：不超过±4.0％；吸光度 &gt;0.600：不超过±6.0％；</w:t>
            </w:r>
          </w:p>
          <w:p>
            <w:pPr>
              <w:pStyle w:val="null3"/>
              <w:jc w:val="both"/>
            </w:pPr>
            <w:r>
              <w:rPr>
                <w:rFonts w:ascii="仿宋_GB2312" w:hAnsi="仿宋_GB2312" w:cs="仿宋_GB2312" w:eastAsia="仿宋_GB2312"/>
                <w:sz w:val="18"/>
                <w:color w:val="000000"/>
              </w:rPr>
              <w:t>2、波长最大允许误差≤±6nm；</w:t>
            </w:r>
          </w:p>
          <w:p>
            <w:pPr>
              <w:pStyle w:val="null3"/>
              <w:jc w:val="both"/>
            </w:pPr>
            <w:r>
              <w:rPr>
                <w:rFonts w:ascii="仿宋_GB2312" w:hAnsi="仿宋_GB2312" w:cs="仿宋_GB2312" w:eastAsia="仿宋_GB2312"/>
                <w:sz w:val="18"/>
                <w:color w:val="000000"/>
              </w:rPr>
              <w:t>3、透射比噪声与漂移，透射比为0％噪声：≤0.2％；透射比为100％噪声：≤0.5％，漂移：≤0.5%/30min；透射比最大允许误差≤ 2.0％，透射比重复性≤0.5％；</w:t>
            </w:r>
          </w:p>
          <w:p>
            <w:pPr>
              <w:pStyle w:val="null3"/>
              <w:jc w:val="both"/>
            </w:pPr>
            <w:r>
              <w:rPr>
                <w:rFonts w:ascii="仿宋_GB2312" w:hAnsi="仿宋_GB2312" w:cs="仿宋_GB2312" w:eastAsia="仿宋_GB2312"/>
                <w:sz w:val="18"/>
                <w:color w:val="000000"/>
              </w:rPr>
              <w:t>4、≥5种波长比色测量(420nm、470nm、540nm、620nm、650nm等)；</w:t>
            </w:r>
          </w:p>
          <w:p>
            <w:pPr>
              <w:pStyle w:val="null3"/>
              <w:jc w:val="both"/>
            </w:pPr>
            <w:r>
              <w:rPr>
                <w:rFonts w:ascii="仿宋_GB2312" w:hAnsi="仿宋_GB2312" w:cs="仿宋_GB2312" w:eastAsia="仿宋_GB2312"/>
                <w:sz w:val="18"/>
                <w:color w:val="000000"/>
              </w:rPr>
              <w:t>5、浊度90º散射光测量，符合ISO7027标准；</w:t>
            </w:r>
          </w:p>
          <w:p>
            <w:pPr>
              <w:pStyle w:val="null3"/>
              <w:jc w:val="both"/>
            </w:pPr>
            <w:r>
              <w:rPr>
                <w:rFonts w:ascii="仿宋_GB2312" w:hAnsi="仿宋_GB2312" w:cs="仿宋_GB2312" w:eastAsia="仿宋_GB2312"/>
                <w:sz w:val="18"/>
                <w:color w:val="000000"/>
              </w:rPr>
              <w:t>6、测量模式：浓度(mg/L 等)、吸光度(Abs)、透过率(%)；</w:t>
            </w:r>
          </w:p>
          <w:p>
            <w:pPr>
              <w:pStyle w:val="null3"/>
              <w:jc w:val="both"/>
            </w:pPr>
            <w:r>
              <w:rPr>
                <w:rFonts w:ascii="仿宋_GB2312" w:hAnsi="仿宋_GB2312" w:cs="仿宋_GB2312" w:eastAsia="仿宋_GB2312"/>
                <w:sz w:val="18"/>
                <w:color w:val="000000"/>
              </w:rPr>
              <w:t>7、内置≥50个检测项，并可进行后期扩展升级；</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所投产品进货渠道正规，确保供应的产品无假货、无产权纠纷。供应商为制造厂家的提供所投生产承诺书或相关证明材料；供应商为经销商的提供所投产品合法来源渠道证明文件（产品制造商授权书）。</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合同签订后30日历天内供货完成，并安装调试到位。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终验合格后（具体付款以县财政资金拨付到位为依据）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终验合格一年后（具体付款以县财政资金拨付到位为依据）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1.所供产品的规格、数量符合采购文件、供应商承诺及采购合同约定的要求。 2.所有货物均已运输至指定地点，并安装调试完毕。 3.采购文件、供应商承诺及采购合同约定的附件、工具、技术资料等齐全；提供产品使用说明书、合格证。 验收方法：初验：货物到达交货地点后，由使用单位根据合同对货物的名称、品牌、规格、型号、产地、数量进行检查。 终验：所有货物(货物)安装、调试完毕，正常使用30个日历日后，由采购人进行终验（最终验收），合格后签发《终验合格单》。 验收不合格的中标单位，必须在接到通知后7个日历日内确保货物通过验收。如接到通知后7个日历日内验收仍不合格，采购人可提出索赔或取消其供货合同。采购人或采购代理机构将把中标资格授予评审排序下一名的中标单位。</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蒲城县2025年中央水利发展资金水利工程设施维修养护（水质提升工程）包含的所有内容。 质保期：自验收合格之日起一年。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1、投标时投标人无需提供纸质版投标文件。中标人在领取中标通知书前须提供纸质版投标文件3份、电子版（U 盘）文件1份，打印盖章后提交至采购代理公司处，以便采购人进行留存备案等工作，中标人应保持投标文件纸质版内容与电子版内容完全一致，否则将承担一切法律责任。纸质版投标文件一律采用（胶装）方式装订且单面或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监狱企业的证明文件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供应商为合法注册的法人、其他组织或自然人，具有独立承担民事责任的能力，提供统一社会信用代码的营业执照等证明文件；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法定代表人身份证明书或授权委托书</w:t>
            </w:r>
          </w:p>
        </w:tc>
        <w:tc>
          <w:tcPr>
            <w:tcW w:type="dxa" w:w="3322"/>
          </w:tcPr>
          <w:p>
            <w:pPr>
              <w:pStyle w:val="null3"/>
            </w:pPr>
            <w:r>
              <w:rPr>
                <w:rFonts w:ascii="仿宋_GB2312" w:hAnsi="仿宋_GB2312" w:cs="仿宋_GB2312" w:eastAsia="仿宋_GB2312"/>
              </w:rPr>
              <w:t>提供法定代表人授权委托书（附法定代表人、被授权人身份证复印件）；法定代表人参加投标只须提供法定代表人身份证明（附法定代表人身份证复印件）；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提供2024年度经审计的财务报告或开标前近三个月内基本开户银行开具的资信证明（成立时间至提交投标文件截止时间不足一年的可提供成立后任意时段的财务报表）：</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提供依法缴纳税收的良好记录（提供投标截止时间前六个月内任意一个月份的缴纳凭据复印件并加盖单位公章。依法免税或开标前一年内零申报的投标人应提供相关证明文件）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提供依法缴纳社会保障资金的良好记录（提供投标截止时间前六个月内任意一个月份的缴纳凭据复印件并加盖单位公章。依法不需要缴纳社会保障资金的投标人应提供相关证明文件）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投标人；不得为“中国政府采购网”（www.ccgp.gov.cn）政府采购严重违法失信行为记录名单中被财政部门禁止参加政府采购活动的投标人。附网站相关截图并加盖单位公章（最终以采购代理机构开标现场查询结果为准）</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投标人为生产厂家的须具备有效的涉水产品卫生许可批件；投标人为代理经销商的，须提供生产厂家的有效的涉水产品卫生许可批件（核心产品）。</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保证金转账凭证</w:t>
            </w:r>
          </w:p>
        </w:tc>
        <w:tc>
          <w:tcPr>
            <w:tcW w:type="dxa" w:w="3322"/>
          </w:tcPr>
          <w:p>
            <w:pPr>
              <w:pStyle w:val="null3"/>
            </w:pPr>
            <w:r>
              <w:rPr>
                <w:rFonts w:ascii="仿宋_GB2312" w:hAnsi="仿宋_GB2312" w:cs="仿宋_GB2312" w:eastAsia="仿宋_GB2312"/>
              </w:rPr>
              <w:t>提供投标保证金银行转账凭证及基本账户信息复印件，复印件均须加盖公章：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本项目专门面向中小企业采购，投标人须提供《中小企业声明函》</w:t>
            </w:r>
          </w:p>
        </w:tc>
        <w:tc>
          <w:tcPr>
            <w:tcW w:type="dxa" w:w="1661"/>
          </w:tcPr>
          <w:p>
            <w:pPr>
              <w:pStyle w:val="null3"/>
            </w:pPr>
            <w:r>
              <w:rPr>
                <w:rFonts w:ascii="仿宋_GB2312" w:hAnsi="仿宋_GB2312" w:cs="仿宋_GB2312" w:eastAsia="仿宋_GB2312"/>
              </w:rPr>
              <w:t>资格证明资料.docx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投标函 中小企业声明函 残疾人福利性单位声明函 拒绝政府采购领域商业贿赂承诺书.docx 标的清单 商务应答表.docx 投标文件封面 产品技术参数表.docx 监狱企业的证明文件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投标文件按招标文件要求进行签章</w:t>
            </w:r>
          </w:p>
        </w:tc>
        <w:tc>
          <w:tcPr>
            <w:tcW w:type="dxa" w:w="1661"/>
          </w:tcPr>
          <w:p>
            <w:pPr>
              <w:pStyle w:val="null3"/>
            </w:pPr>
            <w:r>
              <w:rPr>
                <w:rFonts w:ascii="仿宋_GB2312" w:hAnsi="仿宋_GB2312" w:cs="仿宋_GB2312" w:eastAsia="仿宋_GB2312"/>
              </w:rPr>
              <w:t>开标一览表 分项报价表.docx 投标函 中小企业声明函 残疾人福利性单位声明函 拒绝政府采购领域商业贿赂承诺书.docx 标的清单 商务应答表.docx 产品技术参数表.docx 监狱企业的证明文件 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开标一览表 分项报价表.docx 中小企业声明函 残疾人福利性单位声明函 拒绝政府采购领域商业贿赂承诺书.docx 商务应答表.docx 产品技术参数表.docx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分项报价表.docx 拒绝政府采购领域商业贿赂承诺书.docx 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1、报价唯一，且不能高于最高限价。 2、投标人的报价明显低于其他通过符合性审查投标人的报价时，按照财政部87号令第六十条的相关规定进行处理。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应满足招标文件中要求的供货期</w:t>
            </w:r>
          </w:p>
        </w:tc>
        <w:tc>
          <w:tcPr>
            <w:tcW w:type="dxa" w:w="1661"/>
          </w:tcPr>
          <w:p>
            <w:pPr>
              <w:pStyle w:val="null3"/>
            </w:pPr>
            <w:r>
              <w:rPr>
                <w:rFonts w:ascii="仿宋_GB2312" w:hAnsi="仿宋_GB2312" w:cs="仿宋_GB2312" w:eastAsia="仿宋_GB2312"/>
              </w:rPr>
              <w:t>分项报价表.docx 商务应答表.docx 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分项报价表.docx 商务应答表.docx 产品技术参数表.docx 资格证明资料.docx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投标文件对交货期、质保期、付款方式、验收等商务要求进行详细说明，完全响应招标文件的计2分，交货期最快的、质保期最长的各加0.5分，其余不加分。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1、带“▲”的参数为重点参数，允许负偏离，若未响应或者不满足，将在综合评审中予以扣分处理。每负偏离一项扣0.25分，扣完为止。本项最高得5分。 2、投标人应提供充足的佐证材料予以佐证（佐证材料包括但不限于检测报告、官网或功能截图、彩页、说明书等相关资料）；未提供佐证材料得0分。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产品的来源渠道</w:t>
            </w:r>
          </w:p>
        </w:tc>
        <w:tc>
          <w:tcPr>
            <w:tcW w:type="dxa" w:w="2492"/>
          </w:tcPr>
          <w:p>
            <w:pPr>
              <w:pStyle w:val="null3"/>
            </w:pPr>
            <w:r>
              <w:rPr>
                <w:rFonts w:ascii="仿宋_GB2312" w:hAnsi="仿宋_GB2312" w:cs="仿宋_GB2312" w:eastAsia="仿宋_GB2312"/>
              </w:rPr>
              <w:t>产品符合行业标准，所投产品供货渠道正规，无产权纠纷，许可批件齐全。易损件、零配件备品备件供应渠道正常，有保障，具有相关的质量保证承诺，符合国内标准，检验手续合法有效。能提供产品来源渠道合法的证明文件（产品制造商授权书）、检验或检测报告、出厂合格证及国家强制认证等相关产品质量证明文件。来源渠道及技术证明材料完整，质量保证措施完善的得 6.1-10 分；来源渠道及技术证明材料基本完整，质量保证措施基本完善的得 3.1-6分；来源渠道及技术证明材料不全或质量保证措施不够完善的得 0-3 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投标人认为需要提供的其他资料.docx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产品详细说明</w:t>
            </w:r>
          </w:p>
        </w:tc>
        <w:tc>
          <w:tcPr>
            <w:tcW w:type="dxa" w:w="2492"/>
          </w:tcPr>
          <w:p>
            <w:pPr>
              <w:pStyle w:val="null3"/>
            </w:pPr>
            <w:r>
              <w:rPr>
                <w:rFonts w:ascii="仿宋_GB2312" w:hAnsi="仿宋_GB2312" w:cs="仿宋_GB2312" w:eastAsia="仿宋_GB2312"/>
              </w:rPr>
              <w:t>产品有详细的使用说明介绍，技术指标满足招标文件要求及用户实际使用需求且技术资料齐全，并能提供所投产品响应的各项功能证明材料（包括但不限于检测报告、官网和功能截图、彩页、说明书等相关资料），根据响应程度完全响应提供资料齐全计3.1-5 分；基本响应，提供资料不完全有部分资料计 2.1-3 分；提供少量资料计0- 2 分；未提供不得分。 备注：1、投标人需尽可能多的提供相关的技术、功能证明材料（包括但不限于产品技术说明、检测报告、产品彩页等）予以佐证；投标人自行承担因材料提供不全导致技术参数评审的风险</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投标人认为需要提供的其他资料.docx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投标人针对本项目提供项目实施方案及验收方案，根据方案是否合理科学及措施得当，是否针对本项目实施提出重点、难点并给出相应的解决方案，进度安排、质量保证及验收方案的描述。方案合理、可行、全面得 6.1-9分；方案基本合理可行，但内容不全得 3.1-6分；方案欠缺、不利于 实施得 0-3 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投标人认为需要提供的其他资料.docx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人员安排</w:t>
            </w:r>
          </w:p>
        </w:tc>
        <w:tc>
          <w:tcPr>
            <w:tcW w:type="dxa" w:w="2492"/>
          </w:tcPr>
          <w:p>
            <w:pPr>
              <w:pStyle w:val="null3"/>
            </w:pPr>
            <w:r>
              <w:rPr>
                <w:rFonts w:ascii="仿宋_GB2312" w:hAnsi="仿宋_GB2312" w:cs="仿宋_GB2312" w:eastAsia="仿宋_GB2312"/>
              </w:rPr>
              <w:t>投标人针对本项目有具体的供货组织安排，详细的人员、财力调配、运输安装及调试等实施方案，方案科学合理、可行、全面计3.1-5 分；方案基本合理可行计,0-3 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投标人认为需要提供的其他资料.docx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质量保证措</w:t>
            </w:r>
          </w:p>
        </w:tc>
        <w:tc>
          <w:tcPr>
            <w:tcW w:type="dxa" w:w="2492"/>
          </w:tcPr>
          <w:p>
            <w:pPr>
              <w:pStyle w:val="null3"/>
            </w:pPr>
            <w:r>
              <w:rPr>
                <w:rFonts w:ascii="仿宋_GB2312" w:hAnsi="仿宋_GB2312" w:cs="仿宋_GB2312" w:eastAsia="仿宋_GB2312"/>
              </w:rPr>
              <w:t>质量保证措施完善，符合行业相关标准。评标委员会根据响应程度赋分。 措施完善赋 3.1-5 分；措施一般赋0-3分；未提供本项内容不赋分。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投标人认为需要提供的其他资料.docx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根据各投标人提供详细的培训计划（包括：培训人数、培训时间、培训内容及考核办法等），保证使用方法能熟练操作， 评标委员会根据其响应情况赋 0-5 分。未提供本项内容不赋分。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投标人认为需要提供的其他资料.docx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应急响应方案</w:t>
            </w:r>
          </w:p>
        </w:tc>
        <w:tc>
          <w:tcPr>
            <w:tcW w:type="dxa" w:w="2492"/>
          </w:tcPr>
          <w:p>
            <w:pPr>
              <w:pStyle w:val="null3"/>
            </w:pPr>
            <w:r>
              <w:rPr>
                <w:rFonts w:ascii="仿宋_GB2312" w:hAnsi="仿宋_GB2312" w:cs="仿宋_GB2312" w:eastAsia="仿宋_GB2312"/>
              </w:rPr>
              <w:t>供应商能够提供详细应急响应方案等；应急响应高效，常见故障的排除，紧急情况的处理，保证最终用户能够熟练操作和日常维护、保养及简单故障的排除，培训服务方案详细可行。 评标委员会根据各供应商的内容进行评审，每小项计0-3分，此项共计计3.1-5分。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投标人认为需要提供的其他资料.docx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履约能力承诺详细、具体（包括仓储设施、运输工具、 人员素质、管理水平等方面），评标委员会根据其响应情况赋 0-5 分。未提供本项内容不赋分。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投标人认为需要提供的其他资料.docx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根据供应商的售后服务方案（包括但不限于：服务标准、 质保期满后的承诺等）进行评审： 售后服务有具体、详细、可行的方案及措施，表述明确， 能够完全满足采购需求的得 6.1-10 分； 售后服务方案及措施基本可行，基本能够满足采购需求的 得 3.1-6分； 售后服务方案及措施欠缺较多，不能完全满足采购需求的 得 0-3分； 未提供方案不计分。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投标人认为需要提供的其他资料.docx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提供近三年（2023年 1月至今）的类似项目业绩，每提供一份业绩得 1 分，满分 3 分（以中标通知书或合同协议书复印件加盖公章为准）。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投标人认为需要提供的其他资料.docx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详见附件：详细评审.docx</w:t>
      </w:r>
    </w:p>
    <w:p>
      <w:pPr>
        <w:pStyle w:val="null3"/>
        <w:ind w:firstLine="960"/>
      </w:pPr>
      <w:r>
        <w:rPr>
          <w:rFonts w:ascii="仿宋_GB2312" w:hAnsi="仿宋_GB2312" w:cs="仿宋_GB2312" w:eastAsia="仿宋_GB2312"/>
        </w:rPr>
        <w:t>详见附件：投标人认为需要提供的其他资料.docx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