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52036C">
      <w:pPr>
        <w:pageBreakBefore w:val="0"/>
        <w:wordWrap/>
        <w:overflowPunct/>
        <w:bidi w:val="0"/>
        <w:adjustRightInd w:val="0"/>
        <w:snapToGrid w:val="0"/>
        <w:spacing w:line="360" w:lineRule="auto"/>
        <w:jc w:val="both"/>
        <w:rPr>
          <w:rFonts w:hint="eastAsia" w:ascii="宋体" w:hAnsi="宋体" w:eastAsia="宋体" w:cs="宋体"/>
          <w:b/>
          <w:sz w:val="44"/>
          <w:szCs w:val="44"/>
          <w:highlight w:val="none"/>
        </w:rPr>
      </w:pPr>
    </w:p>
    <w:p w14:paraId="41192EBA">
      <w:pPr>
        <w:keepNext/>
        <w:keepLines/>
        <w:pageBreakBefore w:val="0"/>
        <w:wordWrap/>
        <w:overflowPunct/>
        <w:bidi w:val="0"/>
        <w:adjustRightInd w:val="0"/>
        <w:snapToGrid w:val="0"/>
        <w:spacing w:line="360" w:lineRule="auto"/>
        <w:jc w:val="center"/>
        <w:rPr>
          <w:rFonts w:hint="eastAsia" w:ascii="宋体" w:hAnsi="宋体" w:eastAsia="宋体" w:cs="宋体"/>
          <w:sz w:val="16"/>
          <w:szCs w:val="18"/>
          <w:highlight w:val="none"/>
        </w:rPr>
      </w:pPr>
      <w:r>
        <w:rPr>
          <w:rFonts w:hint="eastAsia" w:ascii="宋体" w:hAnsi="宋体" w:eastAsia="宋体" w:cs="宋体"/>
          <w:b/>
          <w:bCs/>
          <w:sz w:val="44"/>
          <w:szCs w:val="44"/>
          <w:highlight w:val="none"/>
          <w:lang w:eastAsia="zh-CN"/>
        </w:rPr>
        <w:t>蒲城县林业局2025年度省级林业草原改革发展资金森林草原防火补助项目</w:t>
      </w:r>
    </w:p>
    <w:p w14:paraId="1B933CA0">
      <w:pPr>
        <w:pStyle w:val="4"/>
        <w:pageBreakBefore w:val="0"/>
        <w:wordWrap/>
        <w:overflowPunct/>
        <w:bidi w:val="0"/>
        <w:adjustRightInd w:val="0"/>
        <w:snapToGrid w:val="0"/>
        <w:spacing w:line="360" w:lineRule="auto"/>
        <w:jc w:val="center"/>
        <w:rPr>
          <w:rFonts w:hint="eastAsia" w:ascii="宋体" w:hAnsi="宋体" w:eastAsia="宋体" w:cs="宋体"/>
          <w:sz w:val="96"/>
          <w:szCs w:val="112"/>
          <w:highlight w:val="none"/>
          <w:lang w:val="en-US" w:eastAsia="zh-CN"/>
        </w:rPr>
      </w:pPr>
    </w:p>
    <w:p w14:paraId="5715ADE7">
      <w:pPr>
        <w:pStyle w:val="4"/>
        <w:pageBreakBefore w:val="0"/>
        <w:wordWrap/>
        <w:overflowPunct/>
        <w:bidi w:val="0"/>
        <w:adjustRightInd w:val="0"/>
        <w:snapToGrid w:val="0"/>
        <w:spacing w:line="360" w:lineRule="auto"/>
        <w:jc w:val="center"/>
        <w:rPr>
          <w:rFonts w:hint="eastAsia" w:ascii="宋体" w:hAnsi="宋体" w:eastAsia="宋体" w:cs="宋体"/>
          <w:sz w:val="96"/>
          <w:szCs w:val="112"/>
          <w:highlight w:val="none"/>
          <w:lang w:val="en-US" w:eastAsia="zh-CN"/>
        </w:rPr>
      </w:pPr>
      <w:r>
        <w:rPr>
          <w:rFonts w:hint="eastAsia" w:ascii="宋体" w:hAnsi="宋体" w:eastAsia="宋体" w:cs="宋体"/>
          <w:sz w:val="96"/>
          <w:szCs w:val="112"/>
          <w:highlight w:val="none"/>
          <w:lang w:val="en-US" w:eastAsia="zh-CN"/>
        </w:rPr>
        <w:t>合</w:t>
      </w:r>
    </w:p>
    <w:p w14:paraId="6A51971F">
      <w:pPr>
        <w:pStyle w:val="4"/>
        <w:pageBreakBefore w:val="0"/>
        <w:wordWrap/>
        <w:overflowPunct/>
        <w:bidi w:val="0"/>
        <w:adjustRightInd w:val="0"/>
        <w:snapToGrid w:val="0"/>
        <w:spacing w:line="360" w:lineRule="auto"/>
        <w:jc w:val="center"/>
        <w:rPr>
          <w:rFonts w:hint="eastAsia" w:ascii="宋体" w:hAnsi="宋体" w:eastAsia="宋体" w:cs="宋体"/>
          <w:sz w:val="96"/>
          <w:szCs w:val="112"/>
          <w:highlight w:val="none"/>
          <w:lang w:val="en-US" w:eastAsia="zh-CN"/>
        </w:rPr>
      </w:pPr>
      <w:r>
        <w:rPr>
          <w:rFonts w:hint="eastAsia" w:ascii="宋体" w:hAnsi="宋体" w:eastAsia="宋体" w:cs="宋体"/>
          <w:sz w:val="96"/>
          <w:szCs w:val="112"/>
          <w:highlight w:val="none"/>
          <w:lang w:val="en-US" w:eastAsia="zh-CN"/>
        </w:rPr>
        <w:t>同</w:t>
      </w:r>
    </w:p>
    <w:p w14:paraId="3B2F0DF0">
      <w:pPr>
        <w:pStyle w:val="4"/>
        <w:pageBreakBefore w:val="0"/>
        <w:wordWrap/>
        <w:overflowPunct/>
        <w:bidi w:val="0"/>
        <w:adjustRightInd w:val="0"/>
        <w:snapToGrid w:val="0"/>
        <w:spacing w:line="360" w:lineRule="auto"/>
        <w:jc w:val="center"/>
        <w:rPr>
          <w:rFonts w:hint="default" w:ascii="宋体" w:hAnsi="宋体" w:eastAsia="宋体" w:cs="宋体"/>
          <w:sz w:val="96"/>
          <w:szCs w:val="112"/>
          <w:highlight w:val="none"/>
          <w:lang w:val="en-US" w:eastAsia="zh-CN"/>
        </w:rPr>
      </w:pPr>
      <w:r>
        <w:rPr>
          <w:rFonts w:hint="eastAsia" w:ascii="宋体" w:hAnsi="宋体" w:eastAsia="宋体" w:cs="宋体"/>
          <w:sz w:val="96"/>
          <w:szCs w:val="112"/>
          <w:highlight w:val="none"/>
          <w:lang w:val="en-US" w:eastAsia="zh-CN"/>
        </w:rPr>
        <w:t>书</w:t>
      </w:r>
    </w:p>
    <w:p w14:paraId="008CD60F">
      <w:pPr>
        <w:pageBreakBefore w:val="0"/>
        <w:wordWrap/>
        <w:overflowPunct/>
        <w:bidi w:val="0"/>
        <w:adjustRightInd w:val="0"/>
        <w:snapToGrid w:val="0"/>
        <w:spacing w:line="360" w:lineRule="auto"/>
        <w:rPr>
          <w:rFonts w:hint="eastAsia" w:ascii="宋体" w:hAnsi="宋体" w:eastAsia="宋体" w:cs="宋体"/>
          <w:highlight w:val="none"/>
        </w:rPr>
      </w:pPr>
    </w:p>
    <w:p w14:paraId="20A9B666">
      <w:pPr>
        <w:pageBreakBefore w:val="0"/>
        <w:wordWrap/>
        <w:overflowPunct/>
        <w:bidi w:val="0"/>
        <w:adjustRightInd w:val="0"/>
        <w:snapToGrid w:val="0"/>
        <w:spacing w:line="360" w:lineRule="auto"/>
        <w:ind w:firstLine="480"/>
        <w:outlineLvl w:val="9"/>
        <w:rPr>
          <w:rFonts w:hint="eastAsia" w:ascii="宋体" w:hAnsi="宋体" w:eastAsia="宋体" w:cs="宋体"/>
          <w:highlight w:val="none"/>
        </w:rPr>
      </w:pPr>
    </w:p>
    <w:p w14:paraId="5CBB34A6">
      <w:pPr>
        <w:pageBreakBefore w:val="0"/>
        <w:wordWrap/>
        <w:overflowPunct/>
        <w:bidi w:val="0"/>
        <w:adjustRightInd w:val="0"/>
        <w:snapToGrid w:val="0"/>
        <w:spacing w:line="360" w:lineRule="auto"/>
        <w:outlineLvl w:val="9"/>
        <w:rPr>
          <w:rFonts w:hint="eastAsia" w:ascii="宋体" w:hAnsi="宋体" w:eastAsia="宋体" w:cs="宋体"/>
          <w:highlight w:val="none"/>
        </w:rPr>
      </w:pPr>
    </w:p>
    <w:p w14:paraId="292E28E3">
      <w:pPr>
        <w:pageBreakBefore w:val="0"/>
        <w:wordWrap/>
        <w:overflowPunct/>
        <w:bidi w:val="0"/>
        <w:adjustRightInd w:val="0"/>
        <w:snapToGrid w:val="0"/>
        <w:spacing w:line="360" w:lineRule="auto"/>
        <w:outlineLvl w:val="9"/>
        <w:rPr>
          <w:rFonts w:hint="eastAsia" w:ascii="宋体" w:hAnsi="宋体" w:eastAsia="宋体" w:cs="宋体"/>
          <w:highlight w:val="none"/>
        </w:rPr>
      </w:pPr>
    </w:p>
    <w:p w14:paraId="46265CB3">
      <w:pPr>
        <w:pageBreakBefore w:val="0"/>
        <w:wordWrap/>
        <w:overflowPunct/>
        <w:bidi w:val="0"/>
        <w:adjustRightInd w:val="0"/>
        <w:snapToGrid w:val="0"/>
        <w:spacing w:line="360" w:lineRule="auto"/>
        <w:ind w:firstLine="964" w:firstLineChars="300"/>
        <w:jc w:val="left"/>
        <w:outlineLvl w:val="9"/>
        <w:rPr>
          <w:rFonts w:hint="eastAsia" w:ascii="宋体" w:hAnsi="宋体" w:eastAsia="宋体" w:cs="宋体"/>
          <w:b/>
          <w:kern w:val="0"/>
          <w:sz w:val="32"/>
          <w:szCs w:val="32"/>
          <w:highlight w:val="none"/>
          <w:u w:val="single"/>
        </w:rPr>
      </w:pPr>
      <w:r>
        <w:rPr>
          <w:rFonts w:hint="eastAsia" w:ascii="宋体" w:hAnsi="宋体" w:eastAsia="宋体" w:cs="宋体"/>
          <w:b/>
          <w:kern w:val="0"/>
          <w:sz w:val="32"/>
          <w:szCs w:val="32"/>
          <w:highlight w:val="none"/>
        </w:rPr>
        <w:t>甲方：</w:t>
      </w:r>
      <w:r>
        <w:rPr>
          <w:rFonts w:hint="eastAsia" w:ascii="宋体" w:hAnsi="宋体" w:eastAsia="宋体" w:cs="宋体"/>
          <w:b/>
          <w:kern w:val="0"/>
          <w:sz w:val="32"/>
          <w:szCs w:val="32"/>
          <w:highlight w:val="none"/>
          <w:u w:val="single"/>
        </w:rPr>
        <w:t xml:space="preserve">  </w:t>
      </w:r>
      <w:r>
        <w:rPr>
          <w:rFonts w:hint="eastAsia" w:ascii="宋体" w:hAnsi="宋体" w:eastAsia="宋体" w:cs="宋体"/>
          <w:b/>
          <w:kern w:val="0"/>
          <w:sz w:val="32"/>
          <w:szCs w:val="32"/>
          <w:highlight w:val="none"/>
          <w:u w:val="single"/>
          <w:lang w:val="en-US" w:eastAsia="zh-CN"/>
        </w:rPr>
        <w:t>蒲 城 县 林 业 局</w:t>
      </w:r>
      <w:r>
        <w:rPr>
          <w:rFonts w:hint="eastAsia" w:ascii="宋体" w:hAnsi="宋体" w:eastAsia="宋体" w:cs="宋体"/>
          <w:b/>
          <w:kern w:val="0"/>
          <w:sz w:val="32"/>
          <w:szCs w:val="32"/>
          <w:highlight w:val="none"/>
          <w:u w:val="single"/>
        </w:rPr>
        <w:t xml:space="preserve">                </w:t>
      </w:r>
    </w:p>
    <w:p w14:paraId="23EABD2F">
      <w:pPr>
        <w:pageBreakBefore w:val="0"/>
        <w:wordWrap/>
        <w:overflowPunct/>
        <w:bidi w:val="0"/>
        <w:adjustRightInd w:val="0"/>
        <w:snapToGrid w:val="0"/>
        <w:spacing w:line="360" w:lineRule="auto"/>
        <w:ind w:firstLine="964" w:firstLineChars="300"/>
        <w:jc w:val="left"/>
        <w:outlineLvl w:val="9"/>
        <w:rPr>
          <w:rFonts w:hint="eastAsia" w:ascii="宋体" w:hAnsi="宋体" w:eastAsia="宋体" w:cs="宋体"/>
          <w:b/>
          <w:kern w:val="0"/>
          <w:sz w:val="32"/>
          <w:szCs w:val="32"/>
          <w:highlight w:val="none"/>
        </w:rPr>
      </w:pPr>
      <w:r>
        <w:rPr>
          <w:rFonts w:hint="eastAsia" w:ascii="宋体" w:hAnsi="宋体" w:eastAsia="宋体" w:cs="宋体"/>
          <w:b/>
          <w:kern w:val="0"/>
          <w:sz w:val="32"/>
          <w:szCs w:val="32"/>
          <w:highlight w:val="none"/>
        </w:rPr>
        <w:t>乙方：</w:t>
      </w:r>
      <w:r>
        <w:rPr>
          <w:rFonts w:hint="eastAsia" w:ascii="宋体" w:hAnsi="宋体" w:eastAsia="宋体" w:cs="宋体"/>
          <w:b/>
          <w:kern w:val="0"/>
          <w:sz w:val="32"/>
          <w:szCs w:val="32"/>
          <w:highlight w:val="none"/>
          <w:u w:val="single"/>
        </w:rPr>
        <w:t xml:space="preserve">          </w:t>
      </w:r>
      <w:r>
        <w:rPr>
          <w:rFonts w:hint="eastAsia" w:ascii="宋体" w:hAnsi="宋体" w:eastAsia="宋体" w:cs="宋体"/>
          <w:b/>
          <w:kern w:val="0"/>
          <w:sz w:val="32"/>
          <w:szCs w:val="32"/>
          <w:highlight w:val="none"/>
          <w:u w:val="single"/>
          <w:lang w:val="en-US" w:eastAsia="zh-CN"/>
        </w:rPr>
        <w:t xml:space="preserve">            </w:t>
      </w:r>
      <w:r>
        <w:rPr>
          <w:rFonts w:hint="eastAsia" w:ascii="宋体" w:hAnsi="宋体" w:eastAsia="宋体" w:cs="宋体"/>
          <w:b/>
          <w:kern w:val="0"/>
          <w:sz w:val="32"/>
          <w:szCs w:val="32"/>
          <w:highlight w:val="none"/>
          <w:u w:val="single"/>
        </w:rPr>
        <w:t xml:space="preserve">    </w:t>
      </w:r>
    </w:p>
    <w:p w14:paraId="6495FBFB">
      <w:pPr>
        <w:pageBreakBefore w:val="0"/>
        <w:wordWrap/>
        <w:overflowPunct/>
        <w:bidi w:val="0"/>
        <w:adjustRightInd w:val="0"/>
        <w:snapToGrid w:val="0"/>
        <w:spacing w:line="360" w:lineRule="auto"/>
        <w:ind w:left="1487" w:leftChars="708" w:firstLine="2570" w:firstLineChars="800"/>
        <w:jc w:val="left"/>
        <w:outlineLvl w:val="9"/>
        <w:rPr>
          <w:rFonts w:hint="eastAsia" w:ascii="宋体" w:hAnsi="宋体" w:eastAsia="宋体" w:cs="宋体"/>
          <w:b w:val="0"/>
          <w:bCs w:val="0"/>
          <w:sz w:val="24"/>
          <w:szCs w:val="24"/>
          <w:lang w:val="en-US" w:eastAsia="zh-CN"/>
        </w:rPr>
      </w:pPr>
      <w:r>
        <w:rPr>
          <w:rFonts w:hint="eastAsia" w:ascii="宋体" w:hAnsi="宋体" w:eastAsia="宋体" w:cs="宋体"/>
          <w:b/>
          <w:kern w:val="0"/>
          <w:sz w:val="32"/>
          <w:szCs w:val="32"/>
          <w:highlight w:val="none"/>
          <w:u w:val="single"/>
        </w:rPr>
        <w:t xml:space="preserve">  </w:t>
      </w:r>
      <w:r>
        <w:rPr>
          <w:rFonts w:hint="eastAsia" w:ascii="宋体" w:hAnsi="宋体" w:eastAsia="宋体" w:cs="宋体"/>
          <w:b/>
          <w:kern w:val="0"/>
          <w:sz w:val="32"/>
          <w:szCs w:val="32"/>
          <w:highlight w:val="none"/>
        </w:rPr>
        <w:t>年</w:t>
      </w:r>
      <w:r>
        <w:rPr>
          <w:rFonts w:hint="eastAsia" w:ascii="宋体" w:hAnsi="宋体" w:eastAsia="宋体" w:cs="宋体"/>
          <w:b/>
          <w:kern w:val="0"/>
          <w:sz w:val="32"/>
          <w:szCs w:val="32"/>
          <w:highlight w:val="none"/>
          <w:u w:val="single"/>
        </w:rPr>
        <w:t xml:space="preserve">  </w:t>
      </w:r>
      <w:r>
        <w:rPr>
          <w:rFonts w:hint="eastAsia" w:ascii="宋体" w:hAnsi="宋体" w:eastAsia="宋体" w:cs="宋体"/>
          <w:b/>
          <w:kern w:val="0"/>
          <w:sz w:val="32"/>
          <w:szCs w:val="32"/>
          <w:highlight w:val="none"/>
        </w:rPr>
        <w:t>月</w:t>
      </w:r>
    </w:p>
    <w:p w14:paraId="7EFC6F3D">
      <w:pPr>
        <w:keepNext w:val="0"/>
        <w:keepLines w:val="0"/>
        <w:pageBreakBefore w:val="0"/>
        <w:wordWrap/>
        <w:overflowPunct/>
        <w:bidi w:val="0"/>
        <w:adjustRightInd w:val="0"/>
        <w:snapToGrid w:val="0"/>
        <w:spacing w:line="360" w:lineRule="auto"/>
        <w:ind w:firstLine="482" w:firstLineChars="200"/>
        <w:rPr>
          <w:rFonts w:hint="eastAsia" w:ascii="宋体" w:hAnsi="宋体" w:eastAsia="宋体" w:cs="宋体"/>
          <w:b/>
          <w:sz w:val="24"/>
          <w:highlight w:val="none"/>
        </w:rPr>
      </w:pPr>
    </w:p>
    <w:p w14:paraId="08448FA7">
      <w:pPr>
        <w:keepNext w:val="0"/>
        <w:keepLines w:val="0"/>
        <w:pageBreakBefore w:val="0"/>
        <w:wordWrap/>
        <w:overflowPunct/>
        <w:bidi w:val="0"/>
        <w:adjustRightInd w:val="0"/>
        <w:snapToGrid w:val="0"/>
        <w:spacing w:line="360" w:lineRule="auto"/>
        <w:ind w:firstLine="482" w:firstLineChars="200"/>
        <w:rPr>
          <w:rFonts w:hint="eastAsia" w:ascii="宋体" w:hAnsi="宋体" w:eastAsia="宋体" w:cs="宋体"/>
          <w:b/>
          <w:sz w:val="24"/>
          <w:highlight w:val="none"/>
        </w:rPr>
      </w:pPr>
      <w:r>
        <w:rPr>
          <w:rFonts w:hint="eastAsia" w:ascii="宋体" w:hAnsi="宋体" w:eastAsia="宋体" w:cs="宋体"/>
          <w:b/>
          <w:sz w:val="24"/>
          <w:highlight w:val="none"/>
        </w:rPr>
        <w:t>采购人（甲方）：</w:t>
      </w:r>
      <w:r>
        <w:rPr>
          <w:rFonts w:hint="eastAsia" w:ascii="宋体" w:hAnsi="宋体" w:eastAsia="宋体" w:cs="宋体"/>
          <w:b/>
          <w:sz w:val="24"/>
          <w:highlight w:val="none"/>
          <w:u w:val="single"/>
        </w:rPr>
        <w:t xml:space="preserve"> </w:t>
      </w:r>
      <w:r>
        <w:rPr>
          <w:rFonts w:hint="eastAsia" w:ascii="宋体" w:hAnsi="宋体" w:eastAsia="宋体" w:cs="宋体"/>
          <w:b/>
          <w:sz w:val="24"/>
          <w:highlight w:val="none"/>
          <w:u w:val="single"/>
          <w:lang w:val="en-US" w:eastAsia="zh-CN"/>
        </w:rPr>
        <w:t>蒲城县林业局</w:t>
      </w:r>
      <w:r>
        <w:rPr>
          <w:rFonts w:hint="eastAsia" w:ascii="宋体" w:hAnsi="宋体" w:eastAsia="宋体" w:cs="宋体"/>
          <w:b/>
          <w:sz w:val="24"/>
          <w:highlight w:val="none"/>
          <w:u w:val="single"/>
        </w:rPr>
        <w:t xml:space="preserve">            </w:t>
      </w:r>
    </w:p>
    <w:p w14:paraId="1DDF3931">
      <w:pPr>
        <w:keepNext w:val="0"/>
        <w:keepLines w:val="0"/>
        <w:pageBreakBefore w:val="0"/>
        <w:wordWrap/>
        <w:overflowPunct/>
        <w:bidi w:val="0"/>
        <w:adjustRightInd w:val="0"/>
        <w:snapToGrid w:val="0"/>
        <w:spacing w:line="360" w:lineRule="auto"/>
        <w:ind w:firstLine="482" w:firstLineChars="200"/>
        <w:rPr>
          <w:rFonts w:hint="eastAsia" w:ascii="宋体" w:hAnsi="宋体" w:eastAsia="宋体" w:cs="宋体"/>
          <w:sz w:val="24"/>
          <w:highlight w:val="none"/>
        </w:rPr>
      </w:pPr>
      <w:r>
        <w:rPr>
          <w:rFonts w:hint="eastAsia" w:ascii="宋体" w:hAnsi="宋体" w:eastAsia="宋体" w:cs="宋体"/>
          <w:b/>
          <w:sz w:val="24"/>
          <w:highlight w:val="none"/>
        </w:rPr>
        <w:t>供应商（乙方）：</w:t>
      </w:r>
      <w:r>
        <w:rPr>
          <w:rFonts w:hint="eastAsia" w:ascii="宋体" w:hAnsi="宋体" w:eastAsia="宋体" w:cs="宋体"/>
          <w:b/>
          <w:sz w:val="24"/>
          <w:highlight w:val="none"/>
          <w:u w:val="single"/>
        </w:rPr>
        <w:t xml:space="preserve"> </w:t>
      </w:r>
      <w:r>
        <w:rPr>
          <w:rFonts w:hint="eastAsia" w:ascii="宋体" w:hAnsi="宋体" w:eastAsia="宋体" w:cs="宋体"/>
          <w:b/>
          <w:sz w:val="24"/>
          <w:highlight w:val="none"/>
          <w:u w:val="single"/>
          <w:lang w:val="en-US" w:eastAsia="zh-CN"/>
        </w:rPr>
        <w:t xml:space="preserve">           </w:t>
      </w:r>
      <w:r>
        <w:rPr>
          <w:rFonts w:hint="eastAsia" w:ascii="宋体" w:hAnsi="宋体" w:eastAsia="宋体" w:cs="宋体"/>
          <w:b/>
          <w:kern w:val="0"/>
          <w:sz w:val="32"/>
          <w:szCs w:val="32"/>
          <w:highlight w:val="none"/>
          <w:u w:val="single"/>
        </w:rPr>
        <w:t xml:space="preserve"> </w:t>
      </w:r>
      <w:r>
        <w:rPr>
          <w:rFonts w:hint="eastAsia" w:ascii="宋体" w:hAnsi="宋体" w:eastAsia="宋体" w:cs="宋体"/>
          <w:b/>
          <w:sz w:val="24"/>
          <w:highlight w:val="none"/>
          <w:u w:val="single"/>
        </w:rPr>
        <w:t xml:space="preserve">  </w:t>
      </w:r>
    </w:p>
    <w:p w14:paraId="1D3D7AC2">
      <w:pPr>
        <w:keepNext w:val="0"/>
        <w:keepLines w:val="0"/>
        <w:pageBreakBefore w:val="0"/>
        <w:wordWrap/>
        <w:overflowPunct/>
        <w:bidi w:val="0"/>
        <w:adjustRightInd w:val="0"/>
        <w:snapToGrid w:val="0"/>
        <w:spacing w:line="360" w:lineRule="auto"/>
        <w:ind w:firstLine="520" w:firstLineChars="200"/>
        <w:rPr>
          <w:rFonts w:hint="eastAsia" w:ascii="宋体" w:hAnsi="宋体" w:eastAsia="宋体" w:cs="宋体"/>
          <w:sz w:val="24"/>
          <w:highlight w:val="none"/>
        </w:rPr>
      </w:pPr>
      <w:r>
        <w:rPr>
          <w:rFonts w:hint="eastAsia" w:ascii="宋体" w:hAnsi="宋体" w:eastAsia="宋体" w:cs="宋体"/>
          <w:spacing w:val="10"/>
          <w:sz w:val="24"/>
          <w:highlight w:val="none"/>
        </w:rPr>
        <w:t>按照《中华人民</w:t>
      </w:r>
      <w:r>
        <w:rPr>
          <w:rFonts w:hint="eastAsia" w:ascii="宋体" w:hAnsi="宋体" w:eastAsia="宋体" w:cs="宋体"/>
          <w:spacing w:val="8"/>
          <w:sz w:val="24"/>
          <w:highlight w:val="none"/>
        </w:rPr>
        <w:t>共和</w:t>
      </w:r>
      <w:r>
        <w:rPr>
          <w:rFonts w:hint="eastAsia" w:ascii="宋体" w:hAnsi="宋体" w:eastAsia="宋体" w:cs="宋体"/>
          <w:spacing w:val="6"/>
          <w:sz w:val="24"/>
          <w:highlight w:val="none"/>
        </w:rPr>
        <w:t>国</w:t>
      </w:r>
      <w:r>
        <w:rPr>
          <w:rFonts w:hint="eastAsia" w:ascii="宋体" w:hAnsi="宋体" w:eastAsia="宋体" w:cs="宋体"/>
          <w:spacing w:val="4"/>
          <w:sz w:val="24"/>
          <w:highlight w:val="none"/>
        </w:rPr>
        <w:t>民法典》及其他有关法律、法规，遵循平等、自愿、公平和诚信的原则，双方就下述项</w:t>
      </w:r>
      <w:r>
        <w:rPr>
          <w:rFonts w:hint="eastAsia" w:ascii="宋体" w:hAnsi="宋体" w:eastAsia="宋体" w:cs="宋体"/>
          <w:spacing w:val="16"/>
          <w:sz w:val="24"/>
          <w:highlight w:val="none"/>
        </w:rPr>
        <w:t>目</w:t>
      </w:r>
      <w:r>
        <w:rPr>
          <w:rFonts w:hint="eastAsia" w:ascii="宋体" w:hAnsi="宋体" w:eastAsia="宋体" w:cs="宋体"/>
          <w:spacing w:val="9"/>
          <w:sz w:val="24"/>
          <w:highlight w:val="none"/>
        </w:rPr>
        <w:t>范</w:t>
      </w:r>
      <w:r>
        <w:rPr>
          <w:rFonts w:hint="eastAsia" w:ascii="宋体" w:hAnsi="宋体" w:eastAsia="宋体" w:cs="宋体"/>
          <w:spacing w:val="8"/>
          <w:sz w:val="24"/>
          <w:highlight w:val="none"/>
        </w:rPr>
        <w:t>围与相关服务事项协商一致，订立本合同。</w:t>
      </w:r>
    </w:p>
    <w:p w14:paraId="3BBE2482">
      <w:pPr>
        <w:keepNext w:val="0"/>
        <w:keepLines w:val="0"/>
        <w:pageBreakBefore w:val="0"/>
        <w:wordWrap/>
        <w:overflowPunct/>
        <w:bidi w:val="0"/>
        <w:adjustRightInd w:val="0"/>
        <w:snapToGrid w:val="0"/>
        <w:spacing w:line="360" w:lineRule="auto"/>
        <w:ind w:firstLine="482" w:firstLineChars="200"/>
        <w:outlineLvl w:val="9"/>
        <w:rPr>
          <w:rFonts w:hint="eastAsia" w:ascii="宋体" w:hAnsi="宋体" w:eastAsia="宋体" w:cs="宋体"/>
          <w:b/>
          <w:sz w:val="24"/>
          <w:highlight w:val="none"/>
        </w:rPr>
      </w:pPr>
      <w:bookmarkStart w:id="0" w:name="_Toc250"/>
      <w:r>
        <w:rPr>
          <w:rFonts w:hint="eastAsia" w:ascii="宋体" w:hAnsi="宋体" w:eastAsia="宋体" w:cs="宋体"/>
          <w:b/>
          <w:sz w:val="24"/>
          <w:highlight w:val="none"/>
        </w:rPr>
        <w:t>一、项目概况</w:t>
      </w:r>
      <w:bookmarkEnd w:id="0"/>
    </w:p>
    <w:p w14:paraId="0D481E3D">
      <w:pPr>
        <w:pStyle w:val="4"/>
        <w:pageBreakBefore w:val="0"/>
        <w:wordWrap/>
        <w:overflowPunct/>
        <w:bidi w:val="0"/>
        <w:adjustRightInd w:val="0"/>
        <w:snapToGrid w:val="0"/>
        <w:spacing w:line="360" w:lineRule="auto"/>
        <w:ind w:firstLine="480" w:firstLineChars="200"/>
        <w:jc w:val="both"/>
        <w:outlineLvl w:val="9"/>
        <w:rPr>
          <w:rFonts w:hint="eastAsia" w:ascii="宋体" w:hAnsi="宋体" w:eastAsia="宋体" w:cs="宋体"/>
          <w:bCs/>
          <w:sz w:val="24"/>
          <w:highlight w:val="none"/>
        </w:rPr>
      </w:pPr>
      <w:r>
        <w:rPr>
          <w:rFonts w:hint="eastAsia" w:ascii="宋体" w:hAnsi="宋体" w:eastAsia="宋体" w:cs="宋体"/>
          <w:bCs/>
          <w:sz w:val="24"/>
          <w:highlight w:val="none"/>
        </w:rPr>
        <w:t>1、项目名称：</w:t>
      </w:r>
      <w:r>
        <w:rPr>
          <w:rFonts w:hint="eastAsia" w:ascii="宋体" w:hAnsi="宋体" w:eastAsia="宋体" w:cs="宋体"/>
          <w:b/>
          <w:kern w:val="0"/>
          <w:sz w:val="32"/>
          <w:szCs w:val="32"/>
          <w:highlight w:val="none"/>
          <w:u w:val="single"/>
        </w:rPr>
        <w:t xml:space="preserve"> </w:t>
      </w:r>
      <w:r>
        <w:rPr>
          <w:rFonts w:hint="eastAsia" w:ascii="宋体" w:hAnsi="宋体" w:eastAsia="宋体" w:cs="宋体"/>
          <w:spacing w:val="9"/>
          <w:kern w:val="2"/>
          <w:sz w:val="24"/>
          <w:szCs w:val="22"/>
          <w:highlight w:val="none"/>
          <w:u w:val="single"/>
          <w:lang w:val="en-US" w:eastAsia="zh-CN" w:bidi="ar-SA"/>
        </w:rPr>
        <w:t xml:space="preserve">蒲城县林业局2025年度省级林业草原改革发展资金森林草原防火补助项目 </w:t>
      </w:r>
      <w:r>
        <w:rPr>
          <w:rFonts w:hint="eastAsia" w:ascii="宋体" w:hAnsi="宋体" w:eastAsia="宋体" w:cs="宋体"/>
          <w:bCs/>
          <w:spacing w:val="8"/>
          <w:sz w:val="24"/>
          <w:highlight w:val="none"/>
        </w:rPr>
        <w:t>；</w:t>
      </w:r>
    </w:p>
    <w:p w14:paraId="3EE854A4">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highlight w:val="none"/>
        </w:rPr>
      </w:pPr>
      <w:r>
        <w:rPr>
          <w:rFonts w:hint="eastAsia" w:ascii="宋体" w:hAnsi="宋体" w:eastAsia="宋体" w:cs="宋体"/>
          <w:bCs/>
          <w:sz w:val="24"/>
          <w:highlight w:val="none"/>
        </w:rPr>
        <w:t>2、项目地点：</w:t>
      </w:r>
      <w:r>
        <w:rPr>
          <w:rFonts w:hint="eastAsia" w:ascii="宋体" w:hAnsi="宋体" w:eastAsia="宋体" w:cs="宋体"/>
          <w:bCs/>
          <w:spacing w:val="8"/>
          <w:sz w:val="24"/>
          <w:highlight w:val="none"/>
          <w:u w:val="single"/>
          <w:lang w:val="en-US" w:eastAsia="zh-CN"/>
        </w:rPr>
        <w:t>蒲城县所辖林区</w:t>
      </w:r>
      <w:r>
        <w:rPr>
          <w:rFonts w:hint="eastAsia" w:ascii="宋体" w:hAnsi="宋体" w:eastAsia="宋体" w:cs="宋体"/>
          <w:bCs/>
          <w:spacing w:val="8"/>
          <w:sz w:val="24"/>
          <w:highlight w:val="none"/>
          <w:u w:val="single"/>
        </w:rPr>
        <w:t xml:space="preserve">               </w:t>
      </w:r>
      <w:r>
        <w:rPr>
          <w:rFonts w:hint="eastAsia" w:ascii="宋体" w:hAnsi="宋体" w:eastAsia="宋体" w:cs="宋体"/>
          <w:bCs/>
          <w:spacing w:val="8"/>
          <w:sz w:val="24"/>
          <w:highlight w:val="none"/>
        </w:rPr>
        <w:t>；</w:t>
      </w:r>
    </w:p>
    <w:p w14:paraId="66FE0A15">
      <w:pPr>
        <w:keepNext w:val="0"/>
        <w:keepLines w:val="0"/>
        <w:pageBreakBefore w:val="0"/>
        <w:wordWrap/>
        <w:overflowPunct/>
        <w:bidi w:val="0"/>
        <w:adjustRightInd w:val="0"/>
        <w:snapToGrid w:val="0"/>
        <w:spacing w:line="360" w:lineRule="auto"/>
        <w:ind w:firstLine="482" w:firstLineChars="200"/>
        <w:outlineLvl w:val="9"/>
        <w:rPr>
          <w:rFonts w:hint="eastAsia" w:ascii="宋体" w:hAnsi="宋体" w:eastAsia="宋体" w:cs="宋体"/>
          <w:b/>
          <w:sz w:val="24"/>
          <w:highlight w:val="none"/>
        </w:rPr>
      </w:pPr>
      <w:bookmarkStart w:id="1" w:name="_Toc6478"/>
      <w:r>
        <w:rPr>
          <w:rFonts w:hint="eastAsia" w:ascii="宋体" w:hAnsi="宋体" w:eastAsia="宋体" w:cs="宋体"/>
          <w:b/>
          <w:sz w:val="24"/>
          <w:highlight w:val="none"/>
        </w:rPr>
        <w:t>二、组成本合同的文件</w:t>
      </w:r>
      <w:bookmarkEnd w:id="1"/>
    </w:p>
    <w:p w14:paraId="258DB382">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highlight w:val="none"/>
        </w:rPr>
      </w:pPr>
      <w:r>
        <w:rPr>
          <w:rFonts w:hint="eastAsia" w:ascii="宋体" w:hAnsi="宋体" w:eastAsia="宋体" w:cs="宋体"/>
          <w:bCs/>
          <w:sz w:val="24"/>
          <w:highlight w:val="none"/>
        </w:rPr>
        <w:t>1、中标</w:t>
      </w:r>
      <w:r>
        <w:rPr>
          <w:rFonts w:hint="eastAsia" w:ascii="宋体" w:hAnsi="宋体" w:eastAsia="宋体" w:cs="宋体"/>
          <w:bCs/>
          <w:sz w:val="24"/>
          <w:highlight w:val="none"/>
          <w:lang w:eastAsia="zh-CN"/>
        </w:rPr>
        <w:t>（</w:t>
      </w:r>
      <w:r>
        <w:rPr>
          <w:rFonts w:hint="eastAsia" w:ascii="宋体" w:hAnsi="宋体" w:eastAsia="宋体" w:cs="宋体"/>
          <w:bCs/>
          <w:sz w:val="24"/>
          <w:highlight w:val="none"/>
          <w:lang w:val="en-US" w:eastAsia="zh-CN"/>
        </w:rPr>
        <w:t>成交</w:t>
      </w:r>
      <w:r>
        <w:rPr>
          <w:rFonts w:hint="eastAsia" w:ascii="宋体" w:hAnsi="宋体" w:eastAsia="宋体" w:cs="宋体"/>
          <w:bCs/>
          <w:sz w:val="24"/>
          <w:highlight w:val="none"/>
          <w:lang w:eastAsia="zh-CN"/>
        </w:rPr>
        <w:t>）</w:t>
      </w:r>
      <w:r>
        <w:rPr>
          <w:rFonts w:hint="eastAsia" w:ascii="宋体" w:hAnsi="宋体" w:eastAsia="宋体" w:cs="宋体"/>
          <w:bCs/>
          <w:sz w:val="24"/>
          <w:highlight w:val="none"/>
        </w:rPr>
        <w:t>通知书、</w:t>
      </w:r>
      <w:r>
        <w:rPr>
          <w:rFonts w:hint="eastAsia" w:ascii="宋体" w:hAnsi="宋体" w:eastAsia="宋体" w:cs="宋体"/>
          <w:bCs/>
          <w:sz w:val="24"/>
          <w:highlight w:val="none"/>
          <w:lang w:val="en-US" w:eastAsia="zh-CN"/>
        </w:rPr>
        <w:t>磋商响应</w:t>
      </w:r>
      <w:r>
        <w:rPr>
          <w:rFonts w:hint="eastAsia" w:ascii="宋体" w:hAnsi="宋体" w:eastAsia="宋体" w:cs="宋体"/>
          <w:bCs/>
          <w:sz w:val="24"/>
          <w:highlight w:val="none"/>
        </w:rPr>
        <w:t>文件、</w:t>
      </w:r>
      <w:r>
        <w:rPr>
          <w:rFonts w:hint="eastAsia" w:ascii="宋体" w:hAnsi="宋体" w:eastAsia="宋体" w:cs="宋体"/>
          <w:bCs/>
          <w:sz w:val="24"/>
          <w:highlight w:val="none"/>
          <w:lang w:val="en-US" w:eastAsia="zh-CN"/>
        </w:rPr>
        <w:t>磋商</w:t>
      </w:r>
      <w:r>
        <w:rPr>
          <w:rFonts w:hint="eastAsia" w:ascii="宋体" w:hAnsi="宋体" w:eastAsia="宋体" w:cs="宋体"/>
          <w:bCs/>
          <w:sz w:val="24"/>
          <w:highlight w:val="none"/>
        </w:rPr>
        <w:t>文件、澄清、</w:t>
      </w:r>
      <w:r>
        <w:rPr>
          <w:rFonts w:hint="eastAsia" w:ascii="宋体" w:hAnsi="宋体" w:eastAsia="宋体" w:cs="宋体"/>
          <w:bCs/>
          <w:sz w:val="24"/>
          <w:highlight w:val="none"/>
          <w:lang w:val="en-US" w:eastAsia="zh-CN"/>
        </w:rPr>
        <w:t>磋商文件</w:t>
      </w:r>
      <w:r>
        <w:rPr>
          <w:rFonts w:hint="eastAsia" w:ascii="宋体" w:hAnsi="宋体" w:eastAsia="宋体" w:cs="宋体"/>
          <w:bCs/>
          <w:sz w:val="24"/>
          <w:highlight w:val="none"/>
        </w:rPr>
        <w:t>补充文件；</w:t>
      </w:r>
    </w:p>
    <w:p w14:paraId="006D1301">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highlight w:val="none"/>
        </w:rPr>
      </w:pPr>
      <w:r>
        <w:rPr>
          <w:rFonts w:hint="eastAsia" w:ascii="宋体" w:hAnsi="宋体" w:eastAsia="宋体" w:cs="宋体"/>
          <w:bCs/>
          <w:sz w:val="24"/>
          <w:highlight w:val="none"/>
        </w:rPr>
        <w:t>2、相关服务建议书；</w:t>
      </w:r>
    </w:p>
    <w:p w14:paraId="4F5149B5">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highlight w:val="none"/>
        </w:rPr>
      </w:pPr>
      <w:r>
        <w:rPr>
          <w:rFonts w:hint="eastAsia" w:ascii="宋体" w:hAnsi="宋体" w:eastAsia="宋体" w:cs="宋体"/>
          <w:bCs/>
          <w:sz w:val="24"/>
          <w:highlight w:val="none"/>
        </w:rPr>
        <w:t>3、本合同签订后，双方依法签订的补充协议也是本合同文件的组成部分。</w:t>
      </w:r>
    </w:p>
    <w:p w14:paraId="4251AB9F">
      <w:pPr>
        <w:keepNext w:val="0"/>
        <w:keepLines w:val="0"/>
        <w:pageBreakBefore w:val="0"/>
        <w:wordWrap/>
        <w:overflowPunct/>
        <w:bidi w:val="0"/>
        <w:adjustRightInd w:val="0"/>
        <w:snapToGrid w:val="0"/>
        <w:spacing w:line="360" w:lineRule="auto"/>
        <w:ind w:firstLine="482" w:firstLineChars="200"/>
        <w:outlineLvl w:val="9"/>
        <w:rPr>
          <w:rFonts w:hint="eastAsia" w:ascii="宋体" w:hAnsi="宋体" w:eastAsia="宋体" w:cs="宋体"/>
          <w:b/>
          <w:sz w:val="24"/>
          <w:highlight w:val="none"/>
        </w:rPr>
      </w:pPr>
      <w:bookmarkStart w:id="2" w:name="_Toc21480"/>
      <w:r>
        <w:rPr>
          <w:rFonts w:hint="eastAsia" w:ascii="宋体" w:hAnsi="宋体" w:eastAsia="宋体" w:cs="宋体"/>
          <w:b/>
          <w:sz w:val="24"/>
          <w:highlight w:val="none"/>
        </w:rPr>
        <w:t>三、合同总价</w:t>
      </w:r>
      <w:bookmarkEnd w:id="2"/>
    </w:p>
    <w:p w14:paraId="14EA76E6">
      <w:pPr>
        <w:keepNext w:val="0"/>
        <w:keepLines w:val="0"/>
        <w:pageBreakBefore w:val="0"/>
        <w:wordWrap/>
        <w:overflowPunct/>
        <w:bidi w:val="0"/>
        <w:adjustRightInd w:val="0"/>
        <w:snapToGrid w:val="0"/>
        <w:spacing w:line="360" w:lineRule="auto"/>
        <w:ind w:firstLine="482" w:firstLineChars="200"/>
        <w:rPr>
          <w:rFonts w:hint="eastAsia" w:ascii="宋体" w:hAnsi="宋体" w:eastAsia="宋体" w:cs="宋体"/>
          <w:sz w:val="24"/>
          <w:highlight w:val="none"/>
        </w:rPr>
      </w:pPr>
      <w:r>
        <w:rPr>
          <w:rFonts w:hint="eastAsia" w:ascii="宋体" w:hAnsi="宋体" w:eastAsia="宋体" w:cs="宋体"/>
          <w:b/>
          <w:sz w:val="24"/>
          <w:highlight w:val="none"/>
        </w:rPr>
        <w:t xml:space="preserve">1、合同总价 </w:t>
      </w:r>
      <w:r>
        <w:rPr>
          <w:rFonts w:hint="eastAsia" w:ascii="宋体" w:hAnsi="宋体" w:eastAsia="宋体" w:cs="宋体"/>
          <w:spacing w:val="-1"/>
          <w:sz w:val="24"/>
          <w:highlight w:val="none"/>
        </w:rPr>
        <w:t>(大写) ：</w:t>
      </w:r>
      <w:r>
        <w:rPr>
          <w:rFonts w:hint="eastAsia" w:ascii="宋体" w:hAnsi="宋体" w:eastAsia="宋体" w:cs="宋体"/>
          <w:spacing w:val="-1"/>
          <w:sz w:val="24"/>
          <w:highlight w:val="none"/>
          <w:u w:val="single"/>
          <w:lang w:val="en-US" w:eastAsia="zh-CN"/>
        </w:rPr>
        <w:t xml:space="preserve">          元</w:t>
      </w:r>
      <w:r>
        <w:rPr>
          <w:rFonts w:hint="eastAsia" w:ascii="宋体" w:hAnsi="宋体" w:eastAsia="宋体" w:cs="宋体"/>
          <w:sz w:val="24"/>
          <w:highlight w:val="none"/>
        </w:rPr>
        <w:t>(¥</w:t>
      </w:r>
      <w:r>
        <w:rPr>
          <w:rFonts w:hint="eastAsia" w:ascii="宋体" w:hAnsi="宋体" w:eastAsia="宋体" w:cs="宋体"/>
          <w:sz w:val="24"/>
          <w:highlight w:val="none"/>
          <w:u w:val="single"/>
          <w:lang w:val="en-US" w:eastAsia="zh-CN"/>
        </w:rPr>
        <w:t xml:space="preserve">                   元</w:t>
      </w:r>
      <w:r>
        <w:rPr>
          <w:rFonts w:hint="eastAsia" w:ascii="宋体" w:hAnsi="宋体" w:eastAsia="宋体" w:cs="宋体"/>
          <w:sz w:val="24"/>
          <w:highlight w:val="none"/>
        </w:rPr>
        <w:t>) ；</w:t>
      </w:r>
    </w:p>
    <w:p w14:paraId="1D63645E">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highlight w:val="none"/>
          <w:lang w:val="en-US" w:eastAsia="zh-CN"/>
        </w:rPr>
      </w:pPr>
      <w:r>
        <w:rPr>
          <w:rFonts w:hint="eastAsia" w:ascii="宋体" w:hAnsi="宋体" w:eastAsia="宋体" w:cs="宋体"/>
          <w:bCs/>
          <w:sz w:val="24"/>
          <w:highlight w:val="none"/>
        </w:rPr>
        <w:t>2、</w:t>
      </w:r>
      <w:r>
        <w:rPr>
          <w:rFonts w:hint="eastAsia" w:ascii="宋体" w:hAnsi="宋体" w:eastAsia="宋体" w:cs="宋体"/>
          <w:bCs/>
          <w:sz w:val="24"/>
          <w:highlight w:val="none"/>
          <w:lang w:val="en-US" w:eastAsia="zh-CN"/>
        </w:rPr>
        <w:t>合同价即中标价，为一次性包死价格，不受市场价格变化的影像。合同价格为含税价，中标人提供产品所发生的一切税（包括增值税）等费用都已包含在合同价款中。</w:t>
      </w:r>
    </w:p>
    <w:p w14:paraId="17FD36A4">
      <w:pPr>
        <w:keepNext w:val="0"/>
        <w:keepLines w:val="0"/>
        <w:pageBreakBefore w:val="0"/>
        <w:wordWrap/>
        <w:overflowPunct/>
        <w:bidi w:val="0"/>
        <w:adjustRightInd w:val="0"/>
        <w:snapToGrid w:val="0"/>
        <w:spacing w:line="360" w:lineRule="auto"/>
        <w:ind w:firstLine="482" w:firstLineChars="200"/>
        <w:outlineLvl w:val="9"/>
        <w:rPr>
          <w:rFonts w:hint="eastAsia" w:ascii="宋体" w:hAnsi="宋体" w:eastAsia="宋体" w:cs="宋体"/>
          <w:b/>
          <w:sz w:val="24"/>
          <w:highlight w:val="none"/>
        </w:rPr>
      </w:pPr>
      <w:bookmarkStart w:id="3" w:name="_Toc11653"/>
      <w:r>
        <w:rPr>
          <w:rFonts w:hint="eastAsia" w:ascii="宋体" w:hAnsi="宋体" w:eastAsia="宋体" w:cs="宋体"/>
          <w:b/>
          <w:sz w:val="24"/>
          <w:highlight w:val="none"/>
        </w:rPr>
        <w:t>四、合同结算</w:t>
      </w:r>
      <w:bookmarkEnd w:id="3"/>
    </w:p>
    <w:p w14:paraId="33140576">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highlight w:val="none"/>
        </w:rPr>
      </w:pPr>
      <w:bookmarkStart w:id="4" w:name="_bookmark6"/>
      <w:bookmarkEnd w:id="4"/>
      <w:r>
        <w:rPr>
          <w:rFonts w:hint="eastAsia" w:ascii="宋体" w:hAnsi="宋体" w:eastAsia="宋体" w:cs="宋体"/>
          <w:bCs/>
          <w:sz w:val="24"/>
          <w:highlight w:val="none"/>
        </w:rPr>
        <w:t>1、结算单位：</w:t>
      </w:r>
      <w:r>
        <w:rPr>
          <w:rFonts w:hint="eastAsia" w:ascii="宋体" w:hAnsi="宋体" w:eastAsia="宋体" w:cs="宋体"/>
          <w:bCs/>
          <w:sz w:val="24"/>
          <w:highlight w:val="none"/>
          <w:u w:val="single"/>
        </w:rPr>
        <w:t>银行转账，由采购人负责结算。在付款前，供应商必须开具与合同金额相应的发票给采购人，附详细清单。</w:t>
      </w:r>
    </w:p>
    <w:p w14:paraId="1C582AD7">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color w:val="000000"/>
          <w:sz w:val="24"/>
          <w:highlight w:val="none"/>
        </w:rPr>
      </w:pPr>
      <w:r>
        <w:rPr>
          <w:rFonts w:hint="eastAsia" w:ascii="宋体" w:hAnsi="宋体" w:eastAsia="宋体" w:cs="宋体"/>
          <w:bCs/>
          <w:sz w:val="24"/>
          <w:highlight w:val="none"/>
        </w:rPr>
        <w:t>2、付款方式：</w:t>
      </w:r>
      <w:r>
        <w:rPr>
          <w:rFonts w:hint="eastAsia" w:ascii="宋体" w:hAnsi="宋体" w:eastAsia="宋体" w:cs="宋体"/>
          <w:bCs/>
          <w:sz w:val="24"/>
          <w:highlight w:val="none"/>
          <w:u w:val="single"/>
        </w:rPr>
        <w:t>合同签订后 ，达到付款条件起7日内，支付合同总金额的 40.00%</w:t>
      </w:r>
      <w:r>
        <w:rPr>
          <w:rFonts w:hint="eastAsia" w:ascii="宋体" w:hAnsi="宋体" w:eastAsia="宋体" w:cs="宋体"/>
          <w:bCs/>
          <w:sz w:val="24"/>
          <w:highlight w:val="none"/>
          <w:u w:val="single"/>
          <w:lang w:eastAsia="zh-CN"/>
        </w:rPr>
        <w:t>；</w:t>
      </w:r>
      <w:r>
        <w:rPr>
          <w:rFonts w:hint="eastAsia" w:ascii="宋体" w:hAnsi="宋体" w:eastAsia="宋体" w:cs="宋体"/>
          <w:bCs/>
          <w:sz w:val="24"/>
          <w:highlight w:val="none"/>
          <w:u w:val="single"/>
        </w:rPr>
        <w:t>交货后，达到付款条件起7日内，支付合同总金额的40.00%。</w:t>
      </w:r>
      <w:r>
        <w:rPr>
          <w:rFonts w:hint="eastAsia" w:ascii="宋体" w:hAnsi="宋体" w:eastAsia="宋体" w:cs="宋体"/>
          <w:bCs/>
          <w:sz w:val="24"/>
          <w:highlight w:val="none"/>
          <w:u w:val="single"/>
          <w:lang w:eastAsia="zh-CN"/>
        </w:rPr>
        <w:t>；</w:t>
      </w:r>
      <w:r>
        <w:rPr>
          <w:rFonts w:hint="eastAsia" w:ascii="宋体" w:hAnsi="宋体" w:eastAsia="宋体" w:cs="宋体"/>
          <w:bCs/>
          <w:sz w:val="24"/>
          <w:highlight w:val="none"/>
          <w:u w:val="single"/>
        </w:rPr>
        <w:t>验收合格后，达到付款条件起7日内，支付合同总金额的20.00%</w:t>
      </w:r>
      <w:r>
        <w:rPr>
          <w:rFonts w:hint="eastAsia" w:ascii="宋体" w:hAnsi="宋体" w:eastAsia="宋体" w:cs="宋体"/>
          <w:bCs/>
          <w:color w:val="000000"/>
          <w:sz w:val="24"/>
          <w:highlight w:val="none"/>
        </w:rPr>
        <w:t>。</w:t>
      </w:r>
    </w:p>
    <w:p w14:paraId="21AA53A9">
      <w:pPr>
        <w:keepNext w:val="0"/>
        <w:keepLines w:val="0"/>
        <w:pageBreakBefore w:val="0"/>
        <w:widowControl/>
        <w:kinsoku w:val="0"/>
        <w:wordWrap/>
        <w:overflowPunct/>
        <w:autoSpaceDE w:val="0"/>
        <w:autoSpaceDN w:val="0"/>
        <w:bidi w:val="0"/>
        <w:adjustRightInd w:val="0"/>
        <w:snapToGrid w:val="0"/>
        <w:spacing w:line="360" w:lineRule="auto"/>
        <w:ind w:firstLine="482" w:firstLineChars="200"/>
        <w:textAlignment w:val="baseline"/>
        <w:outlineLvl w:val="9"/>
        <w:rPr>
          <w:rFonts w:hint="eastAsia" w:ascii="宋体" w:hAnsi="宋体" w:eastAsia="宋体" w:cs="宋体"/>
          <w:sz w:val="24"/>
          <w:highlight w:val="none"/>
          <w:lang w:eastAsia="zh-CN"/>
        </w:rPr>
      </w:pPr>
      <w:bookmarkStart w:id="5" w:name="_Toc2016"/>
      <w:r>
        <w:rPr>
          <w:rFonts w:hint="eastAsia" w:ascii="宋体" w:hAnsi="宋体" w:eastAsia="宋体" w:cs="宋体"/>
          <w:b/>
          <w:color w:val="000000"/>
          <w:sz w:val="24"/>
          <w:highlight w:val="none"/>
        </w:rPr>
        <w:t>五</w:t>
      </w:r>
      <w:r>
        <w:rPr>
          <w:rFonts w:hint="eastAsia" w:ascii="宋体" w:hAnsi="宋体" w:eastAsia="宋体" w:cs="宋体"/>
          <w:b/>
          <w:sz w:val="24"/>
          <w:highlight w:val="none"/>
        </w:rPr>
        <w:t>、</w:t>
      </w:r>
      <w:r>
        <w:rPr>
          <w:rFonts w:hint="eastAsia" w:ascii="宋体" w:hAnsi="宋体" w:eastAsia="宋体" w:cs="宋体"/>
          <w:b/>
          <w:sz w:val="24"/>
          <w:highlight w:val="none"/>
          <w:lang w:val="en-US" w:eastAsia="zh-CN"/>
        </w:rPr>
        <w:t>技术支持</w:t>
      </w:r>
      <w:bookmarkEnd w:id="5"/>
    </w:p>
    <w:p w14:paraId="6CDE03C4">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outlineLvl w:val="9"/>
        <w:rPr>
          <w:rFonts w:hint="eastAsia" w:ascii="宋体" w:hAnsi="宋体" w:eastAsia="宋体" w:cs="宋体"/>
          <w:bCs/>
          <w:kern w:val="0"/>
          <w:sz w:val="24"/>
          <w:szCs w:val="20"/>
          <w:highlight w:val="none"/>
          <w:u w:val="none"/>
          <w:lang w:val="en-US" w:eastAsia="zh-CN"/>
        </w:rPr>
      </w:pPr>
      <w:bookmarkStart w:id="6" w:name="_Toc30954"/>
      <w:r>
        <w:rPr>
          <w:rFonts w:hint="eastAsia" w:ascii="宋体" w:hAnsi="宋体" w:eastAsia="宋体" w:cs="宋体"/>
          <w:bCs/>
          <w:kern w:val="0"/>
          <w:sz w:val="24"/>
          <w:szCs w:val="20"/>
          <w:highlight w:val="none"/>
          <w:u w:val="none"/>
          <w:lang w:val="en-US" w:eastAsia="zh-Hans"/>
        </w:rPr>
        <w:t>成交人应随同货物提供相应的中文技术文件(包括产品合格证、装箱清单、操作手册、使用说明、检测报告、维护手册、服务指南等资料)</w:t>
      </w:r>
      <w:r>
        <w:rPr>
          <w:rFonts w:hint="eastAsia" w:ascii="宋体" w:hAnsi="宋体" w:eastAsia="宋体" w:cs="宋体"/>
          <w:bCs/>
          <w:kern w:val="0"/>
          <w:sz w:val="24"/>
          <w:szCs w:val="20"/>
          <w:highlight w:val="none"/>
          <w:u w:val="none"/>
          <w:lang w:val="en-US" w:eastAsia="zh-CN"/>
        </w:rPr>
        <w:t>。</w:t>
      </w:r>
    </w:p>
    <w:p w14:paraId="588BD7FF">
      <w:pPr>
        <w:keepNext w:val="0"/>
        <w:keepLines w:val="0"/>
        <w:pageBreakBefore w:val="0"/>
        <w:widowControl/>
        <w:kinsoku w:val="0"/>
        <w:wordWrap/>
        <w:overflowPunct/>
        <w:autoSpaceDE w:val="0"/>
        <w:autoSpaceDN w:val="0"/>
        <w:bidi w:val="0"/>
        <w:adjustRightInd w:val="0"/>
        <w:snapToGrid w:val="0"/>
        <w:spacing w:line="360" w:lineRule="auto"/>
        <w:ind w:firstLine="482" w:firstLineChars="200"/>
        <w:textAlignment w:val="baseline"/>
        <w:outlineLvl w:val="9"/>
        <w:rPr>
          <w:rFonts w:hint="eastAsia" w:ascii="宋体" w:hAnsi="宋体" w:eastAsia="宋体" w:cs="宋体"/>
          <w:b/>
          <w:sz w:val="24"/>
          <w:highlight w:val="none"/>
        </w:rPr>
      </w:pPr>
      <w:r>
        <w:rPr>
          <w:rFonts w:hint="eastAsia" w:ascii="宋体" w:hAnsi="宋体" w:eastAsia="宋体" w:cs="宋体"/>
          <w:b/>
          <w:sz w:val="24"/>
          <w:highlight w:val="none"/>
        </w:rPr>
        <w:t>六、运输</w:t>
      </w:r>
      <w:bookmarkEnd w:id="6"/>
    </w:p>
    <w:p w14:paraId="30B970B7">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highlight w:val="none"/>
        </w:rPr>
      </w:pPr>
      <w:r>
        <w:rPr>
          <w:rFonts w:hint="eastAsia" w:ascii="宋体" w:hAnsi="宋体" w:eastAsia="宋体" w:cs="宋体"/>
          <w:bCs/>
          <w:sz w:val="24"/>
          <w:highlight w:val="none"/>
        </w:rPr>
        <w:t>1、运杂费：</w:t>
      </w:r>
      <w:bookmarkStart w:id="17" w:name="_GoBack"/>
      <w:r>
        <w:rPr>
          <w:rFonts w:hint="eastAsia" w:ascii="宋体" w:hAnsi="宋体" w:eastAsia="宋体" w:cs="宋体"/>
          <w:bCs/>
          <w:sz w:val="24"/>
          <w:highlight w:val="none"/>
        </w:rPr>
        <w:t>一</w:t>
      </w:r>
      <w:bookmarkEnd w:id="17"/>
      <w:r>
        <w:rPr>
          <w:rFonts w:hint="eastAsia" w:ascii="宋体" w:hAnsi="宋体" w:eastAsia="宋体" w:cs="宋体"/>
          <w:bCs/>
          <w:sz w:val="24"/>
          <w:highlight w:val="none"/>
        </w:rPr>
        <w:t>次包死，已包含在合同总价内，包括从产品供应地点到交货地点落地所 包含的包装费、运输费、保险费、搬运费及其它一切费用。</w:t>
      </w:r>
    </w:p>
    <w:p w14:paraId="77CF484A">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outlineLvl w:val="9"/>
        <w:rPr>
          <w:rFonts w:hint="eastAsia" w:ascii="宋体" w:hAnsi="宋体" w:eastAsia="宋体" w:cs="宋体"/>
          <w:bCs/>
          <w:sz w:val="24"/>
          <w:highlight w:val="none"/>
        </w:rPr>
      </w:pPr>
      <w:bookmarkStart w:id="7" w:name="_Toc17515"/>
      <w:r>
        <w:rPr>
          <w:rFonts w:hint="eastAsia" w:ascii="宋体" w:hAnsi="宋体" w:eastAsia="宋体" w:cs="宋体"/>
          <w:bCs/>
          <w:sz w:val="24"/>
          <w:highlight w:val="none"/>
        </w:rPr>
        <w:t>2、运输方式：乙方自行选择。</w:t>
      </w:r>
      <w:bookmarkEnd w:id="7"/>
    </w:p>
    <w:p w14:paraId="0785310C">
      <w:pPr>
        <w:keepNext w:val="0"/>
        <w:keepLines w:val="0"/>
        <w:pageBreakBefore w:val="0"/>
        <w:wordWrap/>
        <w:overflowPunct/>
        <w:bidi w:val="0"/>
        <w:snapToGrid w:val="0"/>
        <w:spacing w:line="360" w:lineRule="auto"/>
        <w:ind w:firstLine="480" w:firstLineChars="200"/>
        <w:rPr>
          <w:rFonts w:hint="eastAsia" w:ascii="宋体" w:hAnsi="宋体" w:eastAsia="宋体" w:cs="宋体"/>
          <w:bCs/>
          <w:sz w:val="24"/>
          <w:highlight w:val="none"/>
        </w:rPr>
      </w:pPr>
      <w:r>
        <w:rPr>
          <w:rFonts w:hint="eastAsia" w:ascii="宋体" w:hAnsi="宋体" w:eastAsia="宋体" w:cs="宋体"/>
          <w:bCs/>
          <w:sz w:val="24"/>
          <w:highlight w:val="none"/>
        </w:rPr>
        <w:t>3、产品的包装必须标明物品名称、单箱数量、规格等。外包装要求箱体结实牢固。</w:t>
      </w:r>
    </w:p>
    <w:p w14:paraId="77C711D0">
      <w:pPr>
        <w:keepNext w:val="0"/>
        <w:keepLines w:val="0"/>
        <w:pageBreakBefore w:val="0"/>
        <w:widowControl/>
        <w:kinsoku w:val="0"/>
        <w:wordWrap/>
        <w:overflowPunct/>
        <w:autoSpaceDE w:val="0"/>
        <w:autoSpaceDN w:val="0"/>
        <w:bidi w:val="0"/>
        <w:adjustRightInd w:val="0"/>
        <w:snapToGrid w:val="0"/>
        <w:spacing w:line="360" w:lineRule="auto"/>
        <w:ind w:firstLine="482" w:firstLineChars="200"/>
        <w:textAlignment w:val="baseline"/>
        <w:outlineLvl w:val="9"/>
        <w:rPr>
          <w:rFonts w:hint="eastAsia" w:ascii="宋体" w:hAnsi="宋体" w:eastAsia="宋体" w:cs="宋体"/>
          <w:b/>
          <w:sz w:val="24"/>
          <w:highlight w:val="none"/>
        </w:rPr>
      </w:pPr>
      <w:bookmarkStart w:id="8" w:name="_Toc26940"/>
      <w:r>
        <w:rPr>
          <w:rFonts w:hint="eastAsia" w:ascii="宋体" w:hAnsi="宋体" w:eastAsia="宋体" w:cs="宋体"/>
          <w:b/>
          <w:sz w:val="24"/>
          <w:highlight w:val="none"/>
        </w:rPr>
        <w:t>七、质量保证</w:t>
      </w:r>
      <w:bookmarkEnd w:id="8"/>
    </w:p>
    <w:p w14:paraId="2EAA36DE">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highlight w:val="none"/>
        </w:rPr>
      </w:pPr>
      <w:r>
        <w:rPr>
          <w:rFonts w:hint="eastAsia" w:ascii="宋体" w:hAnsi="宋体" w:eastAsia="宋体" w:cs="宋体"/>
          <w:bCs/>
          <w:sz w:val="24"/>
          <w:highlight w:val="none"/>
        </w:rPr>
        <w:t>1、选用的产品、材料必须保证质量、进货渠道正常，满足招标文件要求。</w:t>
      </w:r>
    </w:p>
    <w:p w14:paraId="2CC73054">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outlineLvl w:val="9"/>
        <w:rPr>
          <w:rFonts w:hint="eastAsia" w:ascii="宋体" w:hAnsi="宋体" w:eastAsia="宋体" w:cs="宋体"/>
          <w:bCs/>
          <w:sz w:val="24"/>
          <w:highlight w:val="none"/>
        </w:rPr>
      </w:pPr>
      <w:bookmarkStart w:id="9" w:name="_Toc31552"/>
      <w:r>
        <w:rPr>
          <w:rFonts w:hint="eastAsia" w:ascii="宋体" w:hAnsi="宋体" w:eastAsia="宋体" w:cs="宋体"/>
          <w:bCs/>
          <w:sz w:val="24"/>
          <w:highlight w:val="none"/>
        </w:rPr>
        <w:t>2、所有产品符合国家相关规范标准，确保产品的质量。</w:t>
      </w:r>
      <w:bookmarkEnd w:id="9"/>
    </w:p>
    <w:p w14:paraId="6F417D96">
      <w:pPr>
        <w:keepNext w:val="0"/>
        <w:keepLines w:val="0"/>
        <w:pageBreakBefore w:val="0"/>
        <w:widowControl/>
        <w:kinsoku w:val="0"/>
        <w:wordWrap/>
        <w:overflowPunct/>
        <w:autoSpaceDE w:val="0"/>
        <w:autoSpaceDN w:val="0"/>
        <w:bidi w:val="0"/>
        <w:adjustRightInd w:val="0"/>
        <w:snapToGrid w:val="0"/>
        <w:spacing w:line="360" w:lineRule="auto"/>
        <w:ind w:firstLine="482" w:firstLineChars="200"/>
        <w:textAlignment w:val="baseline"/>
        <w:outlineLvl w:val="9"/>
        <w:rPr>
          <w:rFonts w:hint="eastAsia" w:ascii="宋体" w:hAnsi="宋体" w:eastAsia="宋体" w:cs="宋体"/>
          <w:b/>
          <w:sz w:val="24"/>
          <w:highlight w:val="none"/>
        </w:rPr>
      </w:pPr>
      <w:bookmarkStart w:id="10" w:name="_Toc16509"/>
      <w:r>
        <w:rPr>
          <w:rFonts w:hint="eastAsia" w:ascii="宋体" w:hAnsi="宋体" w:eastAsia="宋体" w:cs="宋体"/>
          <w:b/>
          <w:sz w:val="24"/>
          <w:highlight w:val="none"/>
        </w:rPr>
        <w:t>八、售后服务</w:t>
      </w:r>
      <w:bookmarkEnd w:id="10"/>
    </w:p>
    <w:p w14:paraId="0269A2C0">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outlineLvl w:val="9"/>
        <w:rPr>
          <w:rFonts w:hint="eastAsia" w:ascii="宋体" w:hAnsi="宋体" w:eastAsia="宋体" w:cs="宋体"/>
          <w:bCs/>
          <w:sz w:val="24"/>
          <w:highlight w:val="none"/>
        </w:rPr>
      </w:pPr>
      <w:bookmarkStart w:id="11" w:name="_Toc18650"/>
      <w:r>
        <w:rPr>
          <w:rFonts w:hint="eastAsia" w:ascii="宋体" w:hAnsi="宋体" w:eastAsia="宋体" w:cs="宋体"/>
          <w:bCs/>
          <w:sz w:val="24"/>
          <w:highlight w:val="none"/>
          <w:lang w:val="en-US" w:eastAsia="zh-CN"/>
        </w:rPr>
        <w:t>1、</w:t>
      </w:r>
      <w:r>
        <w:rPr>
          <w:rFonts w:hint="eastAsia" w:ascii="宋体" w:hAnsi="宋体" w:eastAsia="宋体" w:cs="宋体"/>
          <w:bCs/>
          <w:sz w:val="24"/>
          <w:highlight w:val="none"/>
        </w:rPr>
        <w:t>质保期内，所有产品均享受免费维护服务。</w:t>
      </w:r>
      <w:bookmarkEnd w:id="11"/>
    </w:p>
    <w:p w14:paraId="227063FF">
      <w:pPr>
        <w:keepNext w:val="0"/>
        <w:keepLines w:val="0"/>
        <w:pageBreakBefore w:val="0"/>
        <w:widowControl/>
        <w:kinsoku w:val="0"/>
        <w:wordWrap/>
        <w:overflowPunct/>
        <w:autoSpaceDE w:val="0"/>
        <w:autoSpaceDN w:val="0"/>
        <w:bidi w:val="0"/>
        <w:adjustRightInd w:val="0"/>
        <w:snapToGrid w:val="0"/>
        <w:spacing w:line="360" w:lineRule="auto"/>
        <w:ind w:firstLine="482" w:firstLineChars="200"/>
        <w:textAlignment w:val="baseline"/>
        <w:outlineLvl w:val="9"/>
        <w:rPr>
          <w:rFonts w:hint="eastAsia" w:ascii="宋体" w:hAnsi="宋体" w:eastAsia="宋体" w:cs="宋体"/>
          <w:b/>
          <w:sz w:val="24"/>
          <w:highlight w:val="none"/>
        </w:rPr>
      </w:pPr>
      <w:bookmarkStart w:id="12" w:name="_Toc2489"/>
      <w:r>
        <w:rPr>
          <w:rFonts w:hint="eastAsia" w:ascii="宋体" w:hAnsi="宋体" w:eastAsia="宋体" w:cs="宋体"/>
          <w:b/>
          <w:sz w:val="24"/>
          <w:highlight w:val="none"/>
        </w:rPr>
        <w:t>九、验收</w:t>
      </w:r>
      <w:bookmarkEnd w:id="12"/>
    </w:p>
    <w:p w14:paraId="59680445">
      <w:pPr>
        <w:pStyle w:val="3"/>
        <w:keepNext w:val="0"/>
        <w:keepLines w:val="0"/>
        <w:pageBreakBefore w:val="0"/>
        <w:wordWrap/>
        <w:overflowPunct/>
        <w:bidi w:val="0"/>
        <w:snapToGrid w:val="0"/>
        <w:spacing w:line="360" w:lineRule="auto"/>
        <w:ind w:firstLine="480" w:firstLineChars="200"/>
        <w:outlineLvl w:val="9"/>
        <w:rPr>
          <w:rFonts w:hint="eastAsia" w:ascii="宋体" w:hAnsi="宋体" w:eastAsia="宋体" w:cs="宋体"/>
          <w:bCs/>
          <w:sz w:val="24"/>
          <w:highlight w:val="none"/>
        </w:rPr>
      </w:pPr>
      <w:bookmarkStart w:id="13" w:name="_Toc21157"/>
      <w:r>
        <w:rPr>
          <w:rFonts w:hint="eastAsia" w:ascii="宋体" w:hAnsi="宋体" w:eastAsia="宋体" w:cs="宋体"/>
          <w:bCs/>
          <w:sz w:val="24"/>
          <w:highlight w:val="none"/>
        </w:rPr>
        <w:t>1、本项目应按要求完成全部采购内容。</w:t>
      </w:r>
      <w:bookmarkEnd w:id="13"/>
    </w:p>
    <w:p w14:paraId="3577ED76">
      <w:pPr>
        <w:pStyle w:val="3"/>
        <w:keepNext w:val="0"/>
        <w:keepLines w:val="0"/>
        <w:pageBreakBefore w:val="0"/>
        <w:wordWrap/>
        <w:overflowPunct/>
        <w:bidi w:val="0"/>
        <w:snapToGrid w:val="0"/>
        <w:spacing w:line="360" w:lineRule="auto"/>
        <w:ind w:firstLine="480" w:firstLineChars="200"/>
        <w:outlineLvl w:val="9"/>
        <w:rPr>
          <w:rFonts w:hint="eastAsia" w:ascii="宋体" w:hAnsi="宋体" w:eastAsia="宋体" w:cs="宋体"/>
          <w:bCs/>
          <w:sz w:val="24"/>
          <w:highlight w:val="none"/>
        </w:rPr>
      </w:pPr>
      <w:r>
        <w:rPr>
          <w:rFonts w:hint="eastAsia" w:ascii="宋体" w:hAnsi="宋体" w:eastAsia="宋体" w:cs="宋体"/>
          <w:bCs/>
          <w:sz w:val="24"/>
          <w:highlight w:val="none"/>
        </w:rPr>
        <w:t>2、本项目所有实施内容及材料均需符合采购文件的标准及采购合同约定的要求。</w:t>
      </w:r>
    </w:p>
    <w:p w14:paraId="42C41A78">
      <w:pPr>
        <w:pStyle w:val="3"/>
        <w:keepNext w:val="0"/>
        <w:keepLines w:val="0"/>
        <w:pageBreakBefore w:val="0"/>
        <w:wordWrap/>
        <w:overflowPunct/>
        <w:bidi w:val="0"/>
        <w:snapToGrid w:val="0"/>
        <w:spacing w:line="360" w:lineRule="auto"/>
        <w:ind w:firstLine="480" w:firstLineChars="200"/>
        <w:outlineLvl w:val="9"/>
        <w:rPr>
          <w:rFonts w:hint="eastAsia" w:ascii="宋体" w:hAnsi="宋体" w:eastAsia="宋体" w:cs="宋体"/>
          <w:bCs/>
          <w:sz w:val="24"/>
          <w:highlight w:val="none"/>
        </w:rPr>
      </w:pPr>
      <w:bookmarkStart w:id="14" w:name="_Toc18678"/>
      <w:r>
        <w:rPr>
          <w:rFonts w:hint="eastAsia" w:ascii="宋体" w:hAnsi="宋体" w:eastAsia="宋体" w:cs="宋体"/>
          <w:bCs/>
          <w:sz w:val="24"/>
          <w:highlight w:val="none"/>
        </w:rPr>
        <w:t>3、本项目验收标准应符合国家相关规定及行业标准。</w:t>
      </w:r>
      <w:bookmarkEnd w:id="14"/>
    </w:p>
    <w:p w14:paraId="6F49E2DB">
      <w:pPr>
        <w:keepNext w:val="0"/>
        <w:keepLines w:val="0"/>
        <w:pageBreakBefore w:val="0"/>
        <w:widowControl/>
        <w:kinsoku w:val="0"/>
        <w:wordWrap/>
        <w:overflowPunct/>
        <w:autoSpaceDE w:val="0"/>
        <w:autoSpaceDN w:val="0"/>
        <w:bidi w:val="0"/>
        <w:adjustRightInd w:val="0"/>
        <w:snapToGrid w:val="0"/>
        <w:spacing w:line="360" w:lineRule="auto"/>
        <w:ind w:firstLine="482" w:firstLineChars="200"/>
        <w:textAlignment w:val="baseline"/>
        <w:outlineLvl w:val="9"/>
        <w:rPr>
          <w:rFonts w:hint="eastAsia" w:ascii="宋体" w:hAnsi="宋体" w:eastAsia="宋体" w:cs="宋体"/>
          <w:b/>
          <w:sz w:val="24"/>
          <w:highlight w:val="none"/>
          <w:lang w:val="en-US" w:eastAsia="zh-CN"/>
        </w:rPr>
      </w:pPr>
      <w:bookmarkStart w:id="15" w:name="_Toc22454"/>
      <w:r>
        <w:rPr>
          <w:rFonts w:hint="eastAsia" w:ascii="宋体" w:hAnsi="宋体" w:eastAsia="宋体" w:cs="宋体"/>
          <w:b/>
          <w:sz w:val="24"/>
          <w:highlight w:val="none"/>
          <w:lang w:val="en-US" w:eastAsia="zh-CN"/>
        </w:rPr>
        <w:t>十、违约责任</w:t>
      </w:r>
      <w:bookmarkEnd w:id="15"/>
    </w:p>
    <w:p w14:paraId="72AE16FB">
      <w:pPr>
        <w:pStyle w:val="3"/>
        <w:keepNext w:val="0"/>
        <w:keepLines w:val="0"/>
        <w:pageBreakBefore w:val="0"/>
        <w:wordWrap/>
        <w:overflowPunct/>
        <w:bidi w:val="0"/>
        <w:snapToGrid w:val="0"/>
        <w:spacing w:line="360" w:lineRule="auto"/>
        <w:ind w:firstLine="480" w:firstLineChars="200"/>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1、依据《中华人民共和国民法典》、《中华人民共和国政府采购法》的相关条款和本合同约定，中标人未全面履行合同义务或者发生违约，招标人有权终止合同，依法向中标人要求经济索赔，并报请政府采购监督管理部门进行相应的行政处罚。招标人违约的，应当赔偿给中标人造成的经济损失。</w:t>
      </w:r>
    </w:p>
    <w:p w14:paraId="4B2E6C19">
      <w:pPr>
        <w:keepNext w:val="0"/>
        <w:keepLines w:val="0"/>
        <w:pageBreakBefore w:val="0"/>
        <w:widowControl/>
        <w:kinsoku w:val="0"/>
        <w:wordWrap/>
        <w:overflowPunct/>
        <w:autoSpaceDE w:val="0"/>
        <w:autoSpaceDN w:val="0"/>
        <w:bidi w:val="0"/>
        <w:adjustRightInd w:val="0"/>
        <w:snapToGrid w:val="0"/>
        <w:spacing w:line="360" w:lineRule="auto"/>
        <w:ind w:firstLine="482" w:firstLineChars="200"/>
        <w:textAlignment w:val="baseline"/>
        <w:outlineLvl w:val="9"/>
        <w:rPr>
          <w:rFonts w:hint="eastAsia" w:ascii="宋体" w:hAnsi="宋体" w:eastAsia="宋体" w:cs="宋体"/>
          <w:b/>
          <w:sz w:val="24"/>
          <w:highlight w:val="none"/>
        </w:rPr>
      </w:pPr>
      <w:bookmarkStart w:id="16" w:name="_Toc26510"/>
      <w:r>
        <w:rPr>
          <w:rFonts w:hint="eastAsia" w:ascii="宋体" w:hAnsi="宋体" w:eastAsia="宋体" w:cs="宋体"/>
          <w:b/>
          <w:sz w:val="24"/>
          <w:highlight w:val="none"/>
        </w:rPr>
        <w:t>十一、合同生效及其它</w:t>
      </w:r>
      <w:bookmarkEnd w:id="16"/>
    </w:p>
    <w:p w14:paraId="3C4D3987">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1. 订立时间：</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年</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月</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日。</w:t>
      </w:r>
    </w:p>
    <w:p w14:paraId="1ECEED12">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2. 订立地点：</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w:t>
      </w:r>
    </w:p>
    <w:p w14:paraId="6A1EEFE5">
      <w:pPr>
        <w:keepNext w:val="0"/>
        <w:keepLines w:val="0"/>
        <w:pageBreakBefore w:val="0"/>
        <w:wordWrap/>
        <w:overflowPunct/>
        <w:bidi w:val="0"/>
        <w:snapToGrid w:val="0"/>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3. 本合同一式</w:t>
      </w:r>
      <w:r>
        <w:rPr>
          <w:rFonts w:hint="eastAsia" w:ascii="宋体" w:hAnsi="宋体" w:eastAsia="宋体" w:cs="宋体"/>
          <w:color w:val="000000"/>
          <w:sz w:val="24"/>
          <w:highlight w:val="none"/>
          <w:u w:val="single"/>
          <w:lang w:val="en-US" w:eastAsia="zh-CN"/>
        </w:rPr>
        <w:t>陆</w:t>
      </w:r>
      <w:r>
        <w:rPr>
          <w:rFonts w:hint="eastAsia" w:ascii="宋体" w:hAnsi="宋体" w:eastAsia="宋体" w:cs="宋体"/>
          <w:color w:val="000000"/>
          <w:sz w:val="24"/>
          <w:highlight w:val="none"/>
        </w:rPr>
        <w:t>份，具有同等法律效力，双方各执</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u w:val="single"/>
          <w:lang w:val="en-US" w:eastAsia="zh-CN"/>
        </w:rPr>
        <w:t>叄</w:t>
      </w:r>
      <w:r>
        <w:rPr>
          <w:rFonts w:hint="eastAsia" w:ascii="宋体" w:hAnsi="宋体" w:eastAsia="宋体" w:cs="宋体"/>
          <w:color w:val="000000"/>
          <w:sz w:val="24"/>
          <w:highlight w:val="none"/>
        </w:rPr>
        <w:t>份各方签字盖章后生效，合同执行完毕自动失效。（合同的服务承诺则长期有效）。</w:t>
      </w:r>
    </w:p>
    <w:tbl>
      <w:tblPr>
        <w:tblStyle w:val="7"/>
        <w:tblW w:w="10666" w:type="dxa"/>
        <w:tblInd w:w="-32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146"/>
        <w:gridCol w:w="5520"/>
      </w:tblGrid>
      <w:tr w14:paraId="02C9BA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146" w:type="dxa"/>
          </w:tcPr>
          <w:p w14:paraId="7B23FB9F">
            <w:pPr>
              <w:keepNext w:val="0"/>
              <w:keepLines w:val="0"/>
              <w:pageBreakBefore w:val="0"/>
              <w:wordWrap/>
              <w:overflowPunct/>
              <w:bidi w:val="0"/>
              <w:adjustRightInd w:val="0"/>
              <w:snapToGrid w:val="0"/>
              <w:spacing w:line="360" w:lineRule="auto"/>
              <w:jc w:val="center"/>
              <w:rPr>
                <w:rFonts w:hint="eastAsia" w:ascii="宋体" w:hAnsi="宋体" w:eastAsia="宋体" w:cs="宋体"/>
                <w:color w:val="000000"/>
                <w:sz w:val="24"/>
                <w:highlight w:val="none"/>
                <w:u w:val="single"/>
                <w:vertAlign w:val="baseline"/>
                <w:lang w:val="en-US" w:eastAsia="zh-CN"/>
              </w:rPr>
            </w:pPr>
            <w:r>
              <w:rPr>
                <w:rFonts w:hint="eastAsia" w:ascii="宋体" w:hAnsi="宋体" w:eastAsia="宋体" w:cs="宋体"/>
                <w:color w:val="000000"/>
                <w:sz w:val="24"/>
                <w:highlight w:val="none"/>
                <w:u w:val="none"/>
                <w:vertAlign w:val="baseline"/>
                <w:lang w:val="en-US" w:eastAsia="zh-CN"/>
              </w:rPr>
              <w:t>甲方</w:t>
            </w:r>
          </w:p>
        </w:tc>
        <w:tc>
          <w:tcPr>
            <w:tcW w:w="5520" w:type="dxa"/>
          </w:tcPr>
          <w:p w14:paraId="41FB0521">
            <w:pPr>
              <w:keepNext w:val="0"/>
              <w:keepLines w:val="0"/>
              <w:pageBreakBefore w:val="0"/>
              <w:wordWrap/>
              <w:overflowPunct/>
              <w:bidi w:val="0"/>
              <w:adjustRightInd w:val="0"/>
              <w:snapToGrid w:val="0"/>
              <w:spacing w:line="360" w:lineRule="auto"/>
              <w:jc w:val="center"/>
              <w:rPr>
                <w:rFonts w:hint="eastAsia" w:ascii="宋体" w:hAnsi="宋体" w:eastAsia="宋体" w:cs="宋体"/>
                <w:color w:val="000000"/>
                <w:sz w:val="24"/>
                <w:highlight w:val="none"/>
                <w:u w:val="single"/>
                <w:vertAlign w:val="baseline"/>
                <w:lang w:val="en-US" w:eastAsia="zh-CN"/>
              </w:rPr>
            </w:pPr>
            <w:r>
              <w:rPr>
                <w:rFonts w:hint="eastAsia" w:ascii="宋体" w:hAnsi="宋体" w:eastAsia="宋体" w:cs="宋体"/>
                <w:color w:val="000000"/>
                <w:sz w:val="24"/>
                <w:highlight w:val="none"/>
                <w:u w:val="none"/>
                <w:vertAlign w:val="baseline"/>
                <w:lang w:val="en-US" w:eastAsia="zh-CN"/>
              </w:rPr>
              <w:t>乙方</w:t>
            </w:r>
          </w:p>
        </w:tc>
      </w:tr>
      <w:tr w14:paraId="4292B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8" w:hRule="atLeast"/>
        </w:trPr>
        <w:tc>
          <w:tcPr>
            <w:tcW w:w="5146" w:type="dxa"/>
          </w:tcPr>
          <w:p w14:paraId="3488A6D7">
            <w:pPr>
              <w:keepNext w:val="0"/>
              <w:keepLines w:val="0"/>
              <w:pageBreakBefore w:val="0"/>
              <w:wordWrap/>
              <w:overflowPunct/>
              <w:bidi w:val="0"/>
              <w:adjustRightInd w:val="0"/>
              <w:snapToGrid w:val="0"/>
              <w:spacing w:line="480" w:lineRule="auto"/>
              <w:rPr>
                <w:rFonts w:hint="eastAsia" w:ascii="宋体" w:hAnsi="宋体" w:eastAsia="宋体" w:cs="宋体"/>
                <w:color w:val="000000"/>
                <w:sz w:val="24"/>
                <w:highlight w:val="none"/>
                <w:lang w:val="en-US" w:eastAsia="zh-CN"/>
              </w:rPr>
            </w:pPr>
          </w:p>
          <w:p w14:paraId="33538AAF">
            <w:pPr>
              <w:keepNext w:val="0"/>
              <w:keepLines w:val="0"/>
              <w:pageBreakBefore w:val="0"/>
              <w:wordWrap/>
              <w:overflowPunct/>
              <w:bidi w:val="0"/>
              <w:adjustRightInd w:val="0"/>
              <w:snapToGrid w:val="0"/>
              <w:spacing w:line="480" w:lineRule="auto"/>
              <w:rPr>
                <w:rFonts w:hint="eastAsia" w:ascii="宋体" w:hAnsi="宋体" w:eastAsia="宋体" w:cs="宋体"/>
                <w:color w:val="000000"/>
                <w:sz w:val="24"/>
                <w:highlight w:val="none"/>
                <w:u w:val="single"/>
              </w:rPr>
            </w:pPr>
            <w:r>
              <w:rPr>
                <w:rFonts w:hint="eastAsia" w:ascii="宋体" w:hAnsi="宋体" w:eastAsia="宋体" w:cs="宋体"/>
                <w:color w:val="000000"/>
                <w:sz w:val="24"/>
                <w:highlight w:val="none"/>
                <w:lang w:val="en-US" w:eastAsia="zh-CN"/>
              </w:rPr>
              <w:t>单位名称</w:t>
            </w:r>
            <w:r>
              <w:rPr>
                <w:rFonts w:hint="eastAsia" w:ascii="宋体" w:hAnsi="宋体" w:eastAsia="宋体" w:cs="宋体"/>
                <w:color w:val="000000"/>
                <w:sz w:val="24"/>
                <w:highlight w:val="none"/>
              </w:rPr>
              <w:t>：</w:t>
            </w:r>
            <w:r>
              <w:rPr>
                <w:rFonts w:hint="eastAsia" w:ascii="宋体" w:hAnsi="宋体" w:eastAsia="宋体" w:cs="宋体"/>
                <w:color w:val="000000"/>
                <w:sz w:val="24"/>
                <w:highlight w:val="none"/>
                <w:u w:val="single"/>
                <w:lang w:val="en-US" w:eastAsia="zh-CN"/>
              </w:rPr>
              <w:t>蒲城县林业局</w:t>
            </w:r>
            <w:r>
              <w:rPr>
                <w:rFonts w:hint="eastAsia" w:ascii="宋体" w:hAnsi="宋体" w:eastAsia="宋体" w:cs="宋体"/>
                <w:color w:val="000000"/>
                <w:sz w:val="24"/>
                <w:highlight w:val="none"/>
                <w:u w:val="single"/>
              </w:rPr>
              <w:t>（盖章）</w:t>
            </w:r>
          </w:p>
          <w:p w14:paraId="6194BCA5">
            <w:pPr>
              <w:keepNext w:val="0"/>
              <w:keepLines w:val="0"/>
              <w:pageBreakBefore w:val="0"/>
              <w:wordWrap/>
              <w:overflowPunct/>
              <w:bidi w:val="0"/>
              <w:adjustRightInd w:val="0"/>
              <w:snapToGrid w:val="0"/>
              <w:spacing w:line="480" w:lineRule="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 xml:space="preserve">地 址： </w:t>
            </w:r>
            <w:r>
              <w:rPr>
                <w:rFonts w:hint="eastAsia" w:ascii="宋体" w:hAnsi="宋体" w:eastAsia="宋体" w:cs="宋体"/>
                <w:color w:val="000000"/>
                <w:sz w:val="24"/>
                <w:highlight w:val="none"/>
                <w:u w:val="single"/>
              </w:rPr>
              <w:t>蒲城县迎宾路南段广电大楼三楼</w:t>
            </w:r>
            <w:r>
              <w:rPr>
                <w:rFonts w:hint="eastAsia" w:ascii="宋体" w:hAnsi="宋体" w:eastAsia="宋体" w:cs="宋体"/>
                <w:color w:val="000000"/>
                <w:sz w:val="24"/>
                <w:highlight w:val="none"/>
              </w:rPr>
              <w:t xml:space="preserve"> </w:t>
            </w:r>
          </w:p>
          <w:p w14:paraId="49AFE61B">
            <w:pPr>
              <w:keepNext w:val="0"/>
              <w:keepLines w:val="0"/>
              <w:pageBreakBefore w:val="0"/>
              <w:wordWrap/>
              <w:overflowPunct/>
              <w:bidi w:val="0"/>
              <w:adjustRightInd w:val="0"/>
              <w:snapToGrid w:val="0"/>
              <w:spacing w:line="480" w:lineRule="auto"/>
              <w:rPr>
                <w:rFonts w:hint="eastAsia" w:ascii="宋体" w:hAnsi="宋体" w:eastAsia="宋体" w:cs="宋体"/>
                <w:color w:val="000000"/>
                <w:sz w:val="24"/>
                <w:highlight w:val="none"/>
                <w:u w:val="single"/>
              </w:rPr>
            </w:pPr>
            <w:r>
              <w:rPr>
                <w:rFonts w:hint="eastAsia" w:ascii="宋体" w:hAnsi="宋体" w:eastAsia="宋体" w:cs="宋体"/>
                <w:color w:val="000000"/>
                <w:sz w:val="24"/>
                <w:highlight w:val="none"/>
              </w:rPr>
              <w:t>法定代表人或授权代理人：</w:t>
            </w:r>
            <w:r>
              <w:rPr>
                <w:rFonts w:hint="eastAsia" w:ascii="宋体" w:hAnsi="宋体" w:eastAsia="宋体" w:cs="宋体"/>
                <w:color w:val="000000"/>
                <w:sz w:val="24"/>
                <w:highlight w:val="none"/>
                <w:u w:val="single"/>
                <w:lang w:val="en-US" w:eastAsia="zh-CN"/>
              </w:rPr>
              <w:t xml:space="preserve">      </w:t>
            </w:r>
            <w:r>
              <w:rPr>
                <w:rFonts w:hint="eastAsia" w:ascii="宋体" w:hAnsi="宋体" w:eastAsia="宋体" w:cs="宋体"/>
                <w:color w:val="000000"/>
                <w:sz w:val="24"/>
                <w:highlight w:val="none"/>
                <w:u w:val="single"/>
              </w:rPr>
              <w:t>（签字）</w:t>
            </w:r>
          </w:p>
          <w:p w14:paraId="00135C48">
            <w:pPr>
              <w:keepNext w:val="0"/>
              <w:keepLines w:val="0"/>
              <w:pageBreakBefore w:val="0"/>
              <w:wordWrap/>
              <w:overflowPunct/>
              <w:bidi w:val="0"/>
              <w:adjustRightInd w:val="0"/>
              <w:snapToGrid w:val="0"/>
              <w:spacing w:line="480" w:lineRule="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开户银行：</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 xml:space="preserve"> </w:t>
            </w:r>
          </w:p>
          <w:p w14:paraId="7E323BAB">
            <w:pPr>
              <w:keepNext w:val="0"/>
              <w:keepLines w:val="0"/>
              <w:pageBreakBefore w:val="0"/>
              <w:wordWrap/>
              <w:overflowPunct/>
              <w:bidi w:val="0"/>
              <w:adjustRightInd w:val="0"/>
              <w:snapToGrid w:val="0"/>
              <w:spacing w:line="480" w:lineRule="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账号：</w:t>
            </w:r>
            <w:r>
              <w:rPr>
                <w:rFonts w:hint="eastAsia" w:ascii="宋体" w:hAnsi="宋体" w:eastAsia="宋体" w:cs="宋体"/>
                <w:color w:val="000000"/>
                <w:sz w:val="24"/>
                <w:highlight w:val="none"/>
                <w:u w:val="single"/>
              </w:rPr>
              <w:t xml:space="preserve">                     </w:t>
            </w:r>
          </w:p>
          <w:p w14:paraId="576EB91E">
            <w:pPr>
              <w:keepNext w:val="0"/>
              <w:keepLines w:val="0"/>
              <w:pageBreakBefore w:val="0"/>
              <w:wordWrap/>
              <w:overflowPunct/>
              <w:bidi w:val="0"/>
              <w:adjustRightInd w:val="0"/>
              <w:snapToGrid w:val="0"/>
              <w:spacing w:line="480" w:lineRule="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电话：</w:t>
            </w:r>
            <w:r>
              <w:rPr>
                <w:rFonts w:hint="eastAsia" w:ascii="宋体" w:hAnsi="宋体" w:eastAsia="宋体" w:cs="宋体"/>
                <w:color w:val="000000"/>
                <w:sz w:val="24"/>
                <w:highlight w:val="none"/>
                <w:u w:val="single"/>
              </w:rPr>
              <w:t xml:space="preserve">                      </w:t>
            </w:r>
          </w:p>
          <w:p w14:paraId="7C059105">
            <w:pPr>
              <w:keepNext w:val="0"/>
              <w:keepLines w:val="0"/>
              <w:pageBreakBefore w:val="0"/>
              <w:wordWrap/>
              <w:overflowPunct/>
              <w:bidi w:val="0"/>
              <w:adjustRightInd w:val="0"/>
              <w:snapToGrid w:val="0"/>
              <w:spacing w:line="480" w:lineRule="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传真：</w:t>
            </w:r>
            <w:r>
              <w:rPr>
                <w:rFonts w:hint="eastAsia" w:ascii="宋体" w:hAnsi="宋体" w:eastAsia="宋体" w:cs="宋体"/>
                <w:color w:val="000000"/>
                <w:sz w:val="24"/>
                <w:highlight w:val="none"/>
                <w:u w:val="single"/>
              </w:rPr>
              <w:t xml:space="preserve">                      </w:t>
            </w:r>
          </w:p>
        </w:tc>
        <w:tc>
          <w:tcPr>
            <w:tcW w:w="5520" w:type="dxa"/>
          </w:tcPr>
          <w:p w14:paraId="459BED30">
            <w:pPr>
              <w:keepNext w:val="0"/>
              <w:keepLines w:val="0"/>
              <w:pageBreakBefore w:val="0"/>
              <w:wordWrap/>
              <w:overflowPunct/>
              <w:bidi w:val="0"/>
              <w:adjustRightInd w:val="0"/>
              <w:snapToGrid w:val="0"/>
              <w:spacing w:line="480" w:lineRule="auto"/>
              <w:rPr>
                <w:rFonts w:hint="eastAsia" w:ascii="宋体" w:hAnsi="宋体" w:eastAsia="宋体" w:cs="宋体"/>
                <w:color w:val="000000"/>
                <w:sz w:val="24"/>
                <w:highlight w:val="none"/>
                <w:lang w:val="en-US" w:eastAsia="zh-CN"/>
              </w:rPr>
            </w:pPr>
          </w:p>
          <w:p w14:paraId="62DD4988">
            <w:pPr>
              <w:keepNext w:val="0"/>
              <w:keepLines w:val="0"/>
              <w:pageBreakBefore w:val="0"/>
              <w:wordWrap/>
              <w:overflowPunct/>
              <w:bidi w:val="0"/>
              <w:adjustRightInd w:val="0"/>
              <w:snapToGrid w:val="0"/>
              <w:spacing w:line="480" w:lineRule="auto"/>
              <w:rPr>
                <w:rFonts w:hint="eastAsia" w:ascii="宋体" w:hAnsi="宋体" w:eastAsia="宋体" w:cs="宋体"/>
                <w:color w:val="000000"/>
                <w:sz w:val="24"/>
                <w:highlight w:val="none"/>
              </w:rPr>
            </w:pPr>
            <w:r>
              <w:rPr>
                <w:rFonts w:hint="eastAsia" w:ascii="宋体" w:hAnsi="宋体" w:eastAsia="宋体" w:cs="宋体"/>
                <w:color w:val="000000"/>
                <w:sz w:val="24"/>
                <w:highlight w:val="none"/>
                <w:lang w:val="en-US" w:eastAsia="zh-CN"/>
              </w:rPr>
              <w:t>单位名称</w:t>
            </w:r>
            <w:r>
              <w:rPr>
                <w:rFonts w:hint="eastAsia" w:ascii="宋体" w:hAnsi="宋体" w:eastAsia="宋体" w:cs="宋体"/>
                <w:color w:val="000000"/>
                <w:sz w:val="24"/>
                <w:highlight w:val="none"/>
              </w:rPr>
              <w:t>：</w:t>
            </w:r>
            <w:r>
              <w:rPr>
                <w:rFonts w:hint="eastAsia" w:ascii="宋体" w:hAnsi="宋体" w:eastAsia="宋体" w:cs="宋体"/>
                <w:color w:val="000000"/>
                <w:sz w:val="24"/>
                <w:highlight w:val="none"/>
                <w:u w:val="single"/>
                <w:lang w:val="en-US" w:eastAsia="zh-CN"/>
              </w:rPr>
              <w:t xml:space="preserve">          </w:t>
            </w:r>
            <w:r>
              <w:rPr>
                <w:rFonts w:hint="eastAsia" w:ascii="宋体" w:hAnsi="宋体" w:eastAsia="宋体" w:cs="宋体"/>
                <w:color w:val="000000"/>
                <w:sz w:val="24"/>
                <w:highlight w:val="none"/>
                <w:u w:val="single"/>
              </w:rPr>
              <w:t>（盖章）</w:t>
            </w:r>
          </w:p>
          <w:p w14:paraId="77D476C4">
            <w:pPr>
              <w:keepNext w:val="0"/>
              <w:keepLines w:val="0"/>
              <w:pageBreakBefore w:val="0"/>
              <w:wordWrap/>
              <w:overflowPunct/>
              <w:bidi w:val="0"/>
              <w:adjustRightInd w:val="0"/>
              <w:snapToGrid w:val="0"/>
              <w:spacing w:line="480" w:lineRule="auto"/>
              <w:ind w:left="960" w:hanging="960" w:hangingChars="400"/>
              <w:rPr>
                <w:rFonts w:hint="default" w:ascii="宋体" w:hAnsi="宋体" w:eastAsia="宋体" w:cs="宋体"/>
                <w:color w:val="000000"/>
                <w:sz w:val="24"/>
                <w:highlight w:val="none"/>
                <w:u w:val="single"/>
                <w:lang w:val="en-US" w:eastAsia="zh-CN"/>
              </w:rPr>
            </w:pPr>
            <w:r>
              <w:rPr>
                <w:rFonts w:hint="eastAsia" w:ascii="宋体" w:hAnsi="宋体" w:eastAsia="宋体" w:cs="宋体"/>
                <w:color w:val="000000"/>
                <w:sz w:val="24"/>
                <w:highlight w:val="none"/>
              </w:rPr>
              <w:t>地  址：</w:t>
            </w:r>
            <w:r>
              <w:rPr>
                <w:rFonts w:hint="eastAsia" w:ascii="宋体" w:hAnsi="宋体" w:eastAsia="宋体" w:cs="宋体"/>
                <w:color w:val="000000"/>
                <w:sz w:val="24"/>
                <w:highlight w:val="none"/>
                <w:lang w:val="en-US" w:eastAsia="zh-CN"/>
              </w:rPr>
              <w:t xml:space="preserve"> </w:t>
            </w:r>
            <w:r>
              <w:rPr>
                <w:rFonts w:hint="eastAsia" w:ascii="宋体" w:hAnsi="宋体" w:eastAsia="宋体" w:cs="宋体"/>
                <w:color w:val="000000"/>
                <w:sz w:val="24"/>
                <w:highlight w:val="none"/>
                <w:u w:val="single"/>
                <w:lang w:val="en-US" w:eastAsia="zh-CN"/>
              </w:rPr>
              <w:t xml:space="preserve">                   </w:t>
            </w:r>
          </w:p>
          <w:p w14:paraId="6DEDF4CE">
            <w:pPr>
              <w:keepNext w:val="0"/>
              <w:keepLines w:val="0"/>
              <w:pageBreakBefore w:val="0"/>
              <w:wordWrap/>
              <w:overflowPunct/>
              <w:bidi w:val="0"/>
              <w:adjustRightInd w:val="0"/>
              <w:snapToGrid w:val="0"/>
              <w:spacing w:line="480" w:lineRule="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法定代表人或授权代理人：</w:t>
            </w:r>
            <w:r>
              <w:rPr>
                <w:rFonts w:hint="eastAsia" w:ascii="宋体" w:hAnsi="宋体" w:eastAsia="宋体" w:cs="宋体"/>
                <w:color w:val="000000"/>
                <w:sz w:val="24"/>
                <w:highlight w:val="none"/>
                <w:u w:val="single"/>
                <w:lang w:val="en-US" w:eastAsia="zh-CN"/>
              </w:rPr>
              <w:t xml:space="preserve">        </w:t>
            </w:r>
            <w:r>
              <w:rPr>
                <w:rFonts w:hint="eastAsia" w:ascii="宋体" w:hAnsi="宋体" w:eastAsia="宋体" w:cs="宋体"/>
                <w:color w:val="000000"/>
                <w:sz w:val="24"/>
                <w:highlight w:val="none"/>
                <w:u w:val="single"/>
              </w:rPr>
              <w:t>（签字）</w:t>
            </w:r>
          </w:p>
          <w:p w14:paraId="561B315E">
            <w:pPr>
              <w:keepNext w:val="0"/>
              <w:keepLines w:val="0"/>
              <w:pageBreakBefore w:val="0"/>
              <w:wordWrap/>
              <w:overflowPunct/>
              <w:bidi w:val="0"/>
              <w:adjustRightInd w:val="0"/>
              <w:snapToGrid w:val="0"/>
              <w:spacing w:line="480" w:lineRule="auto"/>
              <w:ind w:left="1200" w:hanging="1200" w:hangingChars="500"/>
              <w:rPr>
                <w:rFonts w:hint="default" w:ascii="宋体" w:hAnsi="宋体" w:eastAsia="宋体" w:cs="宋体"/>
                <w:color w:val="000000"/>
                <w:sz w:val="24"/>
                <w:highlight w:val="none"/>
                <w:lang w:val="en-US" w:eastAsia="zh-CN"/>
              </w:rPr>
            </w:pPr>
            <w:r>
              <w:rPr>
                <w:rFonts w:hint="eastAsia" w:ascii="宋体" w:hAnsi="宋体" w:eastAsia="宋体" w:cs="宋体"/>
                <w:color w:val="000000"/>
                <w:sz w:val="24"/>
                <w:highlight w:val="none"/>
              </w:rPr>
              <w:t>开户银行：</w:t>
            </w:r>
            <w:r>
              <w:rPr>
                <w:rFonts w:hint="eastAsia" w:ascii="宋体" w:hAnsi="宋体" w:eastAsia="宋体" w:cs="宋体"/>
                <w:color w:val="000000"/>
                <w:sz w:val="24"/>
                <w:highlight w:val="none"/>
                <w:u w:val="single"/>
                <w:lang w:val="en-US" w:eastAsia="zh-CN"/>
              </w:rPr>
              <w:t xml:space="preserve">                      </w:t>
            </w:r>
          </w:p>
          <w:p w14:paraId="07DC8962">
            <w:pPr>
              <w:keepNext w:val="0"/>
              <w:keepLines w:val="0"/>
              <w:pageBreakBefore w:val="0"/>
              <w:wordWrap/>
              <w:overflowPunct/>
              <w:bidi w:val="0"/>
              <w:adjustRightInd w:val="0"/>
              <w:snapToGrid w:val="0"/>
              <w:spacing w:line="480" w:lineRule="auto"/>
              <w:rPr>
                <w:rFonts w:hint="default" w:ascii="宋体" w:hAnsi="宋体" w:eastAsia="宋体" w:cs="宋体"/>
                <w:color w:val="000000"/>
                <w:sz w:val="24"/>
                <w:highlight w:val="none"/>
                <w:lang w:val="en-US" w:eastAsia="zh-CN"/>
              </w:rPr>
            </w:pPr>
            <w:r>
              <w:rPr>
                <w:rFonts w:hint="eastAsia" w:ascii="宋体" w:hAnsi="宋体" w:eastAsia="宋体" w:cs="宋体"/>
                <w:color w:val="000000"/>
                <w:sz w:val="24"/>
                <w:highlight w:val="none"/>
              </w:rPr>
              <w:t>账号：</w:t>
            </w:r>
            <w:r>
              <w:rPr>
                <w:rFonts w:hint="eastAsia" w:ascii="宋体" w:hAnsi="宋体" w:eastAsia="宋体" w:cs="宋体"/>
                <w:color w:val="000000"/>
                <w:sz w:val="24"/>
                <w:highlight w:val="none"/>
                <w:u w:val="single"/>
                <w:lang w:val="en-US" w:eastAsia="zh-CN"/>
              </w:rPr>
              <w:t xml:space="preserve">                             </w:t>
            </w:r>
          </w:p>
          <w:p w14:paraId="62656C59">
            <w:pPr>
              <w:keepNext w:val="0"/>
              <w:keepLines w:val="0"/>
              <w:pageBreakBefore w:val="0"/>
              <w:wordWrap/>
              <w:overflowPunct/>
              <w:bidi w:val="0"/>
              <w:adjustRightInd w:val="0"/>
              <w:snapToGrid w:val="0"/>
              <w:spacing w:line="480" w:lineRule="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电话：</w:t>
            </w:r>
            <w:r>
              <w:rPr>
                <w:rFonts w:hint="eastAsia" w:ascii="宋体" w:hAnsi="宋体" w:eastAsia="宋体" w:cs="宋体"/>
                <w:color w:val="000000"/>
                <w:sz w:val="24"/>
                <w:highlight w:val="none"/>
                <w:u w:val="single"/>
                <w:lang w:val="en-US" w:eastAsia="zh-CN"/>
              </w:rPr>
              <w:t xml:space="preserve">                  </w:t>
            </w:r>
            <w:r>
              <w:rPr>
                <w:rFonts w:hint="eastAsia" w:ascii="宋体" w:hAnsi="宋体" w:eastAsia="宋体" w:cs="宋体"/>
                <w:color w:val="000000"/>
                <w:sz w:val="24"/>
                <w:highlight w:val="none"/>
                <w:u w:val="single"/>
              </w:rPr>
              <w:t xml:space="preserve">     </w:t>
            </w:r>
          </w:p>
          <w:p w14:paraId="531A915F">
            <w:pPr>
              <w:keepNext w:val="0"/>
              <w:keepLines w:val="0"/>
              <w:pageBreakBefore w:val="0"/>
              <w:wordWrap/>
              <w:overflowPunct/>
              <w:bidi w:val="0"/>
              <w:adjustRightInd w:val="0"/>
              <w:snapToGrid w:val="0"/>
              <w:spacing w:line="480" w:lineRule="auto"/>
              <w:rPr>
                <w:rFonts w:hint="eastAsia" w:ascii="宋体" w:hAnsi="宋体" w:eastAsia="宋体" w:cs="宋体"/>
                <w:color w:val="000000"/>
                <w:sz w:val="24"/>
                <w:highlight w:val="none"/>
                <w:u w:val="single"/>
                <w:vertAlign w:val="baseline"/>
              </w:rPr>
            </w:pPr>
            <w:r>
              <w:rPr>
                <w:rFonts w:hint="eastAsia" w:ascii="宋体" w:hAnsi="宋体" w:eastAsia="宋体" w:cs="宋体"/>
                <w:color w:val="000000"/>
                <w:sz w:val="24"/>
                <w:highlight w:val="none"/>
              </w:rPr>
              <w:t>传真：</w:t>
            </w:r>
            <w:r>
              <w:rPr>
                <w:rFonts w:hint="eastAsia" w:ascii="宋体" w:hAnsi="宋体" w:eastAsia="宋体" w:cs="宋体"/>
                <w:color w:val="000000"/>
                <w:sz w:val="24"/>
                <w:highlight w:val="none"/>
                <w:u w:val="single"/>
                <w:lang w:val="en-US" w:eastAsia="zh-CN"/>
              </w:rPr>
              <w:t xml:space="preserve">                     </w:t>
            </w:r>
            <w:r>
              <w:rPr>
                <w:rFonts w:hint="eastAsia" w:ascii="宋体" w:hAnsi="宋体" w:eastAsia="宋体" w:cs="宋体"/>
                <w:color w:val="000000"/>
                <w:sz w:val="24"/>
                <w:highlight w:val="none"/>
                <w:u w:val="single"/>
              </w:rPr>
              <w:t xml:space="preserve">     </w:t>
            </w:r>
          </w:p>
        </w:tc>
      </w:tr>
    </w:tbl>
    <w:p w14:paraId="1D993457"/>
    <w:sectPr>
      <w:pgSz w:w="11906" w:h="16838"/>
      <w:pgMar w:top="1157" w:right="1236" w:bottom="1157" w:left="123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ED4D95"/>
    <w:rsid w:val="2283002B"/>
    <w:rsid w:val="2AED4D95"/>
    <w:rsid w:val="30033D73"/>
    <w:rsid w:val="334D4507"/>
    <w:rsid w:val="399D7D96"/>
    <w:rsid w:val="42275173"/>
    <w:rsid w:val="499036F9"/>
    <w:rsid w:val="53285295"/>
    <w:rsid w:val="5341093C"/>
    <w:rsid w:val="6B9A5C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before="340" w:after="330" w:line="576" w:lineRule="auto"/>
    </w:pPr>
    <w:rPr>
      <w:rFonts w:ascii="Times New Roman" w:hAnsi="Times New Roman" w:eastAsia="宋体" w:cs="Times New Roman"/>
      <w:kern w:val="44"/>
      <w:sz w:val="44"/>
      <w:szCs w:val="44"/>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spacing w:line="300" w:lineRule="auto"/>
      <w:ind w:firstLine="420" w:firstLineChars="200"/>
    </w:pPr>
    <w:rPr>
      <w:rFonts w:ascii="Times New Roman"/>
      <w:szCs w:val="24"/>
    </w:rPr>
  </w:style>
  <w:style w:type="paragraph" w:styleId="4">
    <w:name w:val="Body Text"/>
    <w:basedOn w:val="1"/>
    <w:next w:val="1"/>
    <w:qFormat/>
    <w:uiPriority w:val="0"/>
    <w:pPr>
      <w:spacing w:after="120"/>
    </w:pPr>
  </w:style>
  <w:style w:type="paragraph" w:styleId="5">
    <w:name w:val="Title"/>
    <w:basedOn w:val="1"/>
    <w:qFormat/>
    <w:uiPriority w:val="0"/>
    <w:pPr>
      <w:outlineLvl w:val="0"/>
    </w:pPr>
    <w:rPr>
      <w:rFonts w:cstheme="majorBidi"/>
      <w:b/>
      <w:bCs/>
      <w:sz w:val="32"/>
      <w:szCs w:val="32"/>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1281</Words>
  <Characters>1357</Characters>
  <Lines>0</Lines>
  <Paragraphs>0</Paragraphs>
  <TotalTime>7</TotalTime>
  <ScaleCrop>false</ScaleCrop>
  <LinksUpToDate>false</LinksUpToDate>
  <CharactersWithSpaces>1608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2025-07-14T09:29:00Z</dcterms:created>
  <dc:creator>超级刀刀贼</dc:creator>
  <cp:lastModifiedBy>三羊开泰</cp:lastModifiedBy>
  <dcterms:modified xsi:type="dcterms:W3CDTF">2026-01-25T05:54:24Z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274E660262F7468B910BE7AD527CEBE1_13</vt:lpwstr>
  </property>
  <property fmtid="{D5CDD505-2E9C-101B-9397-08002B2CF9AE}" pid="4" name="KSOTemplateDocerSaveRecord">
    <vt:lpwstr>eyJoZGlkIjoiMjFmNmQ1OTI4OTA3OTc4YmQ0YWJhNTJiZDUwMDQ5NDciLCJ1c2VySWQiOiIyODE3OTg3NTAifQ==</vt:lpwstr>
  </property>
</Properties>
</file>