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版本号：KY2025-3-345.20260108001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唐光陵和海源寺塔等11处国省文保单位安技防设施安装工程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KY2025-3-345.</w:t>
      </w:r>
      <w:r>
        <w:br/>
      </w:r>
      <w:r>
        <w:br/>
      </w:r>
      <w:r>
        <w:br/>
      </w:r>
    </w:p>
    <w:p>
      <w:pPr>
        <w:pStyle w:val="null3"/>
        <w:jc w:val="center"/>
        <w:outlineLvl w:val="2"/>
      </w:pPr>
      <w:r>
        <w:rPr>
          <w:rFonts w:ascii="仿宋_GB2312" w:hAnsi="仿宋_GB2312" w:cs="仿宋_GB2312" w:eastAsia="仿宋_GB2312"/>
          <w:sz w:val="28"/>
          <w:b/>
        </w:rPr>
        <w:t>蒲城县文化和旅游局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蒲城县文化和旅游局</w:t>
      </w:r>
      <w:r>
        <w:rPr>
          <w:rFonts w:ascii="仿宋_GB2312" w:hAnsi="仿宋_GB2312" w:cs="仿宋_GB2312" w:eastAsia="仿宋_GB2312"/>
        </w:rPr>
        <w:t>委托，拟对</w:t>
      </w:r>
      <w:r>
        <w:rPr>
          <w:rFonts w:ascii="仿宋_GB2312" w:hAnsi="仿宋_GB2312" w:cs="仿宋_GB2312" w:eastAsia="仿宋_GB2312"/>
        </w:rPr>
        <w:t>唐光陵和海源寺塔等11处国省文保单位安技防设施安装工程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KY2025-3-345.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唐光陵和海源寺塔等11处国省文保单位安技防设施安装工程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11处国省文保单位安全技术防范设施安装工程，建设范围涵盖唐光陵、海源寺塔等在内的多处重要文物保护单位。工程主要内容为上述各文物点安防、技防系统所需的全部设施采购、施工安装、系统集成及后续调试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采购包1（唐光陵和海源寺塔等11处国省文保单位安技防设施安装工程）：属于专门面向中小企业采购。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会计师事务所审计并通过注册会计师行业统一监管平台备案赋码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pPr>
      <w:r>
        <w:rPr>
          <w:rFonts w:ascii="仿宋_GB2312" w:hAnsi="仿宋_GB2312" w:cs="仿宋_GB2312" w:eastAsia="仿宋_GB2312"/>
        </w:rPr>
        <w:t>9、专业资质：供应商具备电子与智能化工程专业承包一级资质，并具备有效的安全生产许可证</w:t>
      </w:r>
    </w:p>
    <w:p>
      <w:pPr>
        <w:pStyle w:val="null3"/>
      </w:pPr>
      <w:r>
        <w:rPr>
          <w:rFonts w:ascii="仿宋_GB2312" w:hAnsi="仿宋_GB2312" w:cs="仿宋_GB2312" w:eastAsia="仿宋_GB2312"/>
        </w:rPr>
        <w:t>10、项目负责人：拟派项目经理具备机电工程专业二级以上（含二级）注册建造师资格及安全生产考核合格证(建安B证)，在本单位注册且无其他在建工程（提供无在建工程的承诺函）</w:t>
      </w:r>
    </w:p>
    <w:p>
      <w:pPr>
        <w:pStyle w:val="null3"/>
      </w:pPr>
      <w:r>
        <w:rPr>
          <w:rFonts w:ascii="仿宋_GB2312" w:hAnsi="仿宋_GB2312" w:cs="仿宋_GB2312" w:eastAsia="仿宋_GB2312"/>
        </w:rPr>
        <w:t>11、供应商及项目经理：供应商及项目经理须在“陕西省住房和城乡建设厅”可查询且无不良记录。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蒲城县广电大楼四楼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苗老师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0913-7261806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0913-7255613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银行账号：86113010750181502000830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代理服务费收费标准：依据成交金额向采购代理机构交纳成交服务费，交费金额参照国家计委颁布的《招标代理服务收费管理暂行办法》（计价格[2002]1980号）及发改办价格[2003]857号文件的规定标准按工程收取。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蒲城县文化和旅游局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联系人：谢婷婷、黄梦迪、戈迪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1,790,000.00</w:t>
      </w:r>
    </w:p>
    <w:p>
      <w:pPr>
        <w:pStyle w:val="null3"/>
      </w:pPr>
      <w:r>
        <w:rPr>
          <w:rFonts w:ascii="仿宋_GB2312" w:hAnsi="仿宋_GB2312" w:cs="仿宋_GB2312" w:eastAsia="仿宋_GB2312"/>
        </w:rPr>
        <w:t>采购包最高限价（元）: 1,787,938.49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对唐光陵和海源寺塔等11处国省文保单位安技防设施安装工程进行采购</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标的名称：对唐光陵和海源寺塔等11处国省文保单位安技防设施安装工程进行采购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一、本项目具体内容详见工程量清单及施工图纸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二、清单编制依据</w:t>
            </w:r>
            <w:r>
              <w:br/>
            </w:r>
            <w:r>
              <w:rPr>
                <w:rFonts w:ascii="仿宋_GB2312" w:hAnsi="仿宋_GB2312" w:cs="仿宋_GB2312" w:eastAsia="仿宋_GB2312"/>
              </w:rPr>
              <w:t xml:space="preserve"> 1.唐光陵和海源寺塔等11处国省文保单位安技防设施安装工程设备清单及其他相关文件等；</w:t>
            </w:r>
            <w:r>
              <w:br/>
            </w:r>
            <w:r>
              <w:rPr>
                <w:rFonts w:ascii="仿宋_GB2312" w:hAnsi="仿宋_GB2312" w:cs="仿宋_GB2312" w:eastAsia="仿宋_GB2312"/>
              </w:rPr>
              <w:t xml:space="preserve"> 2.《陕西省建设工程工程量清单计价计算标准》【2025】、《陕西省通用安装工程消耗量定额》【2025】、《陕西省通用安装工程基价表》【2025】(一般计税)及其他相关的计价依据和办法；</w:t>
            </w:r>
            <w:r>
              <w:br/>
            </w:r>
            <w:r>
              <w:rPr>
                <w:rFonts w:ascii="仿宋_GB2312" w:hAnsi="仿宋_GB2312" w:cs="仿宋_GB2312" w:eastAsia="仿宋_GB2312"/>
              </w:rPr>
              <w:t xml:space="preserve"> 3.编制软件采用广联达云计价平台GCCP7.0版本7.5000.23.2。</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三、项目概述：</w:t>
            </w:r>
            <w:r>
              <w:br/>
            </w:r>
            <w:r>
              <w:rPr>
                <w:rFonts w:ascii="仿宋_GB2312" w:hAnsi="仿宋_GB2312" w:cs="仿宋_GB2312" w:eastAsia="仿宋_GB2312"/>
              </w:rPr>
              <w:t xml:space="preserve"> 本项目为11处国省文保单位安全技术防范设施安装工程，建设范围涵盖唐光陵、海源寺塔等在内的多处重要文物保护单位。工程主要内容为上述各文物点安防、技防系统所需的全部设施采购、施工安装、系统集成及后续调试运行。</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四</w:t>
            </w:r>
            <w:r>
              <w:rPr>
                <w:rFonts w:ascii="仿宋_GB2312" w:hAnsi="仿宋_GB2312" w:cs="仿宋_GB2312" w:eastAsia="仿宋_GB2312"/>
                <w:b/>
              </w:rPr>
              <w:t>、商务要求：</w:t>
            </w:r>
          </w:p>
          <w:tbl>
            <w:tblPr>
              <w:tblInd w:type="dxa" w:w="135"/>
              <w:tblBorders>
                <w:top w:val="none" w:color="000000" w:sz="4"/>
                <w:left w:val="none" w:color="000000" w:sz="4"/>
                <w:bottom w:val="none" w:color="000000" w:sz="4"/>
                <w:right w:val="none" w:color="000000" w:sz="4"/>
                <w:insideH w:val="none"/>
                <w:insideV w:val="none"/>
              </w:tblBorders>
            </w:tblPr>
            <w:tblGrid>
              <w:gridCol w:w="252"/>
              <w:gridCol w:w="503"/>
              <w:gridCol w:w="1798"/>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30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项目要求</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付款</w:t>
                  </w:r>
                </w:p>
                <w:p>
                  <w:pPr>
                    <w:pStyle w:val="null3"/>
                    <w:jc w:val="center"/>
                  </w:pPr>
                  <w:r>
                    <w:rPr>
                      <w:rFonts w:ascii="仿宋_GB2312" w:hAnsi="仿宋_GB2312" w:cs="仿宋_GB2312" w:eastAsia="仿宋_GB2312"/>
                      <w:sz w:val="19"/>
                    </w:rPr>
                    <w:t>方式</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1、付款方式</w:t>
                  </w:r>
                </w:p>
                <w:p>
                  <w:pPr>
                    <w:pStyle w:val="null3"/>
                  </w:pPr>
                  <w:r>
                    <w:rPr>
                      <w:rFonts w:ascii="仿宋_GB2312" w:hAnsi="仿宋_GB2312" w:cs="仿宋_GB2312" w:eastAsia="仿宋_GB2312"/>
                      <w:sz w:val="19"/>
                    </w:rPr>
                    <w:t>（1）本合同生效后，支付合同总价款的</w:t>
                  </w:r>
                  <w:r>
                    <w:rPr>
                      <w:rFonts w:ascii="仿宋_GB2312" w:hAnsi="仿宋_GB2312" w:cs="仿宋_GB2312" w:eastAsia="仿宋_GB2312"/>
                      <w:sz w:val="19"/>
                    </w:rPr>
                    <w:t>40%作为工程预付款。</w:t>
                  </w:r>
                </w:p>
                <w:p>
                  <w:pPr>
                    <w:pStyle w:val="null3"/>
                  </w:pPr>
                  <w:r>
                    <w:rPr>
                      <w:rFonts w:ascii="仿宋_GB2312" w:hAnsi="仿宋_GB2312" w:cs="仿宋_GB2312" w:eastAsia="仿宋_GB2312"/>
                      <w:sz w:val="19"/>
                    </w:rPr>
                    <w:t>（2）工程经竣工验收合格后，累计支付至合同总价款的</w:t>
                  </w:r>
                  <w:r>
                    <w:rPr>
                      <w:rFonts w:ascii="仿宋_GB2312" w:hAnsi="仿宋_GB2312" w:cs="仿宋_GB2312" w:eastAsia="仿宋_GB2312"/>
                      <w:sz w:val="19"/>
                    </w:rPr>
                    <w:t>70%。</w:t>
                  </w:r>
                </w:p>
                <w:p>
                  <w:pPr>
                    <w:pStyle w:val="null3"/>
                  </w:pPr>
                  <w:r>
                    <w:rPr>
                      <w:rFonts w:ascii="仿宋_GB2312" w:hAnsi="仿宋_GB2312" w:cs="仿宋_GB2312" w:eastAsia="仿宋_GB2312"/>
                      <w:sz w:val="19"/>
                    </w:rPr>
                    <w:t>（3）竣工结算报告经双方确认后，累计支付至结算总价的</w:t>
                  </w:r>
                  <w:r>
                    <w:rPr>
                      <w:rFonts w:ascii="仿宋_GB2312" w:hAnsi="仿宋_GB2312" w:cs="仿宋_GB2312" w:eastAsia="仿宋_GB2312"/>
                      <w:sz w:val="19"/>
                    </w:rPr>
                    <w:t>100%。</w:t>
                  </w:r>
                </w:p>
                <w:p>
                  <w:pPr>
                    <w:pStyle w:val="null3"/>
                  </w:pPr>
                  <w:r>
                    <w:rPr>
                      <w:rFonts w:ascii="仿宋_GB2312" w:hAnsi="仿宋_GB2312" w:cs="仿宋_GB2312" w:eastAsia="仿宋_GB2312"/>
                      <w:sz w:val="19"/>
                    </w:rPr>
                    <w:t>2、本项目采用固定综合单价合同。</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项目完工期</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合同签订之日起</w:t>
                  </w:r>
                  <w:r>
                    <w:rPr>
                      <w:rFonts w:ascii="仿宋_GB2312" w:hAnsi="仿宋_GB2312" w:cs="仿宋_GB2312" w:eastAsia="仿宋_GB2312"/>
                      <w:sz w:val="19"/>
                    </w:rPr>
                    <w:t>90日历天内完成。</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质保期</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自项目竣工验收合格之日起</w:t>
                  </w:r>
                  <w:r>
                    <w:rPr>
                      <w:rFonts w:ascii="仿宋_GB2312" w:hAnsi="仿宋_GB2312" w:cs="仿宋_GB2312" w:eastAsia="仿宋_GB2312"/>
                      <w:sz w:val="19"/>
                    </w:rPr>
                    <w:t>1年。</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按国家规范标准执行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（10）若享受以上政策优惠的企业，提供相应声明函或品目范围内产品有效认证证书。如有最新颁布的政府采购政策，按最新的文件执行。 2、保证金的退还：自成交通知书发出之日起5个工作日内退还未成交供应商的磋商保证金,自采购合同签订之日起5个工作日内退还成交供应商的投标保证金。 3、为顺利推进政府采购电子化交易平台应用工作，供应商需要在线提交所有通过电子化交易平台实施的政府采购项目的响应文件，同时，线下提交纸质响应文件正本壹份、副本壹份。 纸质响应文件正、副本分别胶装，标明供应商名称密封递交，递交截止时间同在线递交响应电子文件截止时间一致，递交地址：西安市雁展路1111号莱安中心T6-15层。（纸质响应文件可邮寄（顺丰速运），邮件签收时间应在递交电子响应文件截止时间之前，邮寄地址：西安市雁展路1111号莱安中心T6-15层，联系人：谢婷婷、黄梦迪，联系电话：029-81206622/81206633-832）。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审计并通过注册会计师行业统一监管平台备案赋码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供应商具备电子与智能化工程专业承包一级资质，并具备有效的安全生产许可证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拟派项目经理具备机电工程专业二级以上（含二级）注册建造师资格及安全生产考核合格证(建安B证)，在本单位注册且无其他在建工程（提供无在建工程的承诺函）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供应商及项目经理</w:t>
            </w:r>
          </w:p>
        </w:tc>
        <w:tc>
          <w:tcPr>
            <w:tcW w:type="dxa" w:w="3322"/>
          </w:tcPr>
          <w:p>
            <w:pPr>
              <w:pStyle w:val="null3"/>
            </w:pPr>
            <w:r>
              <w:rPr>
                <w:rFonts w:ascii="仿宋_GB2312" w:hAnsi="仿宋_GB2312" w:cs="仿宋_GB2312" w:eastAsia="仿宋_GB2312"/>
              </w:rPr>
              <w:t>供应商及项目经理须在“陕西省住房和城乡建设厅”可查询且无不良记录。</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已标价工程量清单 报价函 标的清单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供应商认为有必要说明的问题.docx 商务条款响应说明.docx 技术指标偏差表.docx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的实施方案，包括：①施工方案；②文物保护方案；③项目组配备人员；④施工进度安排；⑤安全文明施工措施；⑥施工质量保证措施；⑦设备运输、安装调试方案；⑧验收方案；每有一项缺项扣4分，每有一项内容中有缺陷，指项目需求不匹配或不能满足项目实施要求及其他不利于项目实施的扣2分，此项满分32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1详细评审---实施方案.docx</w:t>
            </w:r>
          </w:p>
        </w:tc>
      </w:tr>
      <w:tr>
        <w:tc>
          <w:tcPr>
            <w:tcW w:type="dxa" w:w="831"/>
            <w:vMerge/>
          </w:tcPr>
          <w:p/>
        </w:tc>
        <w:tc>
          <w:tcPr>
            <w:tcW w:type="dxa" w:w="1661"/>
          </w:tcPr>
          <w:p>
            <w:pPr>
              <w:pStyle w:val="null3"/>
            </w:pPr>
            <w:r>
              <w:rPr>
                <w:rFonts w:ascii="仿宋_GB2312" w:hAnsi="仿宋_GB2312" w:cs="仿宋_GB2312" w:eastAsia="仿宋_GB2312"/>
              </w:rPr>
              <w:t>响应材料</w:t>
            </w:r>
          </w:p>
        </w:tc>
        <w:tc>
          <w:tcPr>
            <w:tcW w:type="dxa" w:w="2492"/>
          </w:tcPr>
          <w:p>
            <w:pPr>
              <w:pStyle w:val="null3"/>
            </w:pPr>
            <w:r>
              <w:rPr>
                <w:rFonts w:ascii="仿宋_GB2312" w:hAnsi="仿宋_GB2312" w:cs="仿宋_GB2312" w:eastAsia="仿宋_GB2312"/>
              </w:rPr>
              <w:t>1.供应商提供针对本项目的材料清单（清单内容包括但不限于材料名称、品牌、规格、材质等），符合本项目清单内容完整丰富，使用材料能保障工程质量；（提供产品检测报告或宣传彩页或产品说明书或白皮书等相关支撑材料）；技术参数和配置完全满足或高于招标文件要求得8分；有任意一项负偏离扣1分，扣完为止； 2.响应产品工艺优良、安全性高，货源渠道正规（包括但不限于产品授权书或销售协议）的计4分；货源渠道不清晰的计2分，未提供不计分； 3.如响应材料为节能环保或环境标志产品，提供产品的相关证明材料，每提供1份计1分，满分2分。 （注： 节能环保、环境标志产品以经国家确定的认证机构出具的、处于有效期内的节能产品、环境标志产品认证证书为准）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2详细评审---响应材料.docx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①所提供设备的原理、技术性能和注意事项；②使用及操作维护方法；培训的具体日期及人数由使用单位确定。确保培训后的人员应能熟练操作设备，了解设备结构、工作原理，并能排除一般故障，每有一项缺项扣4分，每有一项内容中有缺陷，指项目需求不匹配或不能满足项目实施要求及其他不利于项目实施的扣2分，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3详细评审---培训措施.docx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供应商质量保修承诺完整，包括但不限于：①有售后保障工作服务方案及工作计划；②有保修团队人员配备并具备相关资格证书；③有巡查或复查计划及售后质量保障措施；④对工程维修服务响应时限有明确的承诺；每有一项缺项扣3分，每有一项内容中有缺陷，指项目需求不匹配或不能满足项目实施要求及其他不利于项目实施的扣1.5分，此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4详细评审---保修承诺.docx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提供供应商的2022年1月1日至今（以签订日期为准）同类项目业绩完整合同，每份计1分，满分4分。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详见附件：1详细评审---实施方案.docx</w:t>
      </w:r>
    </w:p>
    <w:p>
      <w:pPr>
        <w:pStyle w:val="null3"/>
        <w:ind w:firstLine="960"/>
      </w:pPr>
      <w:r>
        <w:rPr>
          <w:rFonts w:ascii="仿宋_GB2312" w:hAnsi="仿宋_GB2312" w:cs="仿宋_GB2312" w:eastAsia="仿宋_GB2312"/>
        </w:rPr>
        <w:t>详见附件：2详细评审---响应材料.docx</w:t>
      </w:r>
    </w:p>
    <w:p>
      <w:pPr>
        <w:pStyle w:val="null3"/>
        <w:ind w:firstLine="960"/>
      </w:pPr>
      <w:r>
        <w:rPr>
          <w:rFonts w:ascii="仿宋_GB2312" w:hAnsi="仿宋_GB2312" w:cs="仿宋_GB2312" w:eastAsia="仿宋_GB2312"/>
        </w:rPr>
        <w:t>详见附件：3详细评审---培训措施.docx</w:t>
      </w:r>
    </w:p>
    <w:p>
      <w:pPr>
        <w:pStyle w:val="null3"/>
        <w:ind w:firstLine="960"/>
      </w:pPr>
      <w:r>
        <w:rPr>
          <w:rFonts w:ascii="仿宋_GB2312" w:hAnsi="仿宋_GB2312" w:cs="仿宋_GB2312" w:eastAsia="仿宋_GB2312"/>
        </w:rPr>
        <w:t>详见附件：4详细评审---保修承诺.docx</w:t>
      </w:r>
    </w:p>
    <w:p>
      <w:pPr>
        <w:pStyle w:val="null3"/>
        <w:ind w:firstLine="960"/>
      </w:pPr>
      <w:r>
        <w:rPr>
          <w:rFonts w:ascii="仿宋_GB2312" w:hAnsi="仿宋_GB2312" w:cs="仿宋_GB2312" w:eastAsia="仿宋_GB2312"/>
        </w:rPr>
        <w:t>详见附件：5详细评审---业绩.docx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