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版本号：SDZC2026-00720260109001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蒲城县文化广场服务中心2026年度城区各广场绿化养护服务项目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SDZC2026-007</w:t>
      </w:r>
      <w:r>
        <w:br/>
      </w:r>
      <w:r>
        <w:br/>
      </w:r>
      <w:r>
        <w:br/>
      </w:r>
    </w:p>
    <w:p>
      <w:pPr>
        <w:pStyle w:val="null3"/>
        <w:jc w:val="center"/>
        <w:outlineLvl w:val="2"/>
      </w:pPr>
      <w:r>
        <w:rPr>
          <w:rFonts w:ascii="仿宋_GB2312" w:hAnsi="仿宋_GB2312" w:cs="仿宋_GB2312" w:eastAsia="仿宋_GB2312"/>
          <w:sz w:val="28"/>
          <w:b/>
        </w:rPr>
        <w:t>蒲城县城市管理执法局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蒲城县城市管理执法局</w:t>
      </w:r>
      <w:r>
        <w:rPr>
          <w:rFonts w:ascii="仿宋_GB2312" w:hAnsi="仿宋_GB2312" w:cs="仿宋_GB2312" w:eastAsia="仿宋_GB2312"/>
        </w:rPr>
        <w:t>委托，拟对</w:t>
      </w:r>
      <w:r>
        <w:rPr>
          <w:rFonts w:ascii="仿宋_GB2312" w:hAnsi="仿宋_GB2312" w:cs="仿宋_GB2312" w:eastAsia="仿宋_GB2312"/>
        </w:rPr>
        <w:t>蒲城县文化广场服务中心2026年度城区各广场绿化养护服务项目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蒲城县文化广场服务中心2026年度城区各广场绿化养护服务项目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对蒲城县文化广场，昆元广场，漫泉广场，重泉广场，朝阳广场、县委，人大，政府，政协，武装部门前，廉政教育门前，党校门前小广场的绿化养护服务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采购包1（2026年度城区各广场绿化养护服务）：属于专门面向中小企业采购。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2024年度财务报告（成立时间至开标时间不足一年的可提供成立后任意时段的资产负债表）或开标前六个月内其基本开户银行出具的资信证明或政府采购信用担保机构出具的担保函。</w:t>
      </w:r>
    </w:p>
    <w:p>
      <w:pPr>
        <w:pStyle w:val="null3"/>
      </w:pPr>
      <w:r>
        <w:rPr>
          <w:rFonts w:ascii="仿宋_GB2312" w:hAnsi="仿宋_GB2312" w:cs="仿宋_GB2312" w:eastAsia="仿宋_GB2312"/>
        </w:rPr>
        <w:t>3、税收缴纳证明：税收缴纳证明：提供2025年2月至今任意一个月的缴纳凭据；（增值税、企业所得税至少提供一种，依法免税的供应商应提供相关文件证明）。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4、社会保障资金缴纳证明：社会保障资金缴纳证明：提供2025年7月至今任意一个月的社保缴纳凭据或社保机构开具的社会保险参保缴纳情况证明；（依法不需要缴纳社会保障资金的供应商应提供相关证明）。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同时提供被授权人2025年9月至今任意一个月在本单位的社保资金缴纳凭证）；法定代表人直接参加磋商提供法定代表人资格证明书（附法定代表人身份证复印件）；采购文件凡是法定代表人之处，非法人单位的负责人均参照执行； (式样见文件格式)</w:t>
      </w:r>
    </w:p>
    <w:p>
      <w:pPr>
        <w:pStyle w:val="null3"/>
      </w:pPr>
      <w:r>
        <w:rPr>
          <w:rFonts w:ascii="仿宋_GB2312" w:hAnsi="仿宋_GB2312" w:cs="仿宋_GB2312" w:eastAsia="仿宋_GB2312"/>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蒲城县南环路西段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黄治中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0913-7232900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汇款账户： 1.开户行名称：陕西上德招标有限公司 2.开户行：西安银行股份有限公司文景路支行 3.帐 号：707011510000013522 财务部联系方式：029-86673953、86518381、89299829、89293231 转814或813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蒲城县城市管理执法局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达到采购人要求及符合竞争性磋商文件，由采购人签发验收合格单。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对蒲城县文化广场，昆元广场，漫泉广场，重泉广场，朝阳广场、县委，人大，政府，政协，武装部门前，廉政教育门前，党校门前小广场的绿化养护服务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579,900.00</w:t>
      </w:r>
    </w:p>
    <w:p>
      <w:pPr>
        <w:pStyle w:val="null3"/>
      </w:pPr>
      <w:r>
        <w:rPr>
          <w:rFonts w:ascii="仿宋_GB2312" w:hAnsi="仿宋_GB2312" w:cs="仿宋_GB2312" w:eastAsia="仿宋_GB2312"/>
        </w:rPr>
        <w:t>采购包最高限价（元）: 579,900.00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绿化养护服务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579,900.00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标的名称：绿化养护服务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标的名称：</w:t>
            </w:r>
            <w:r>
              <w:rPr>
                <w:rFonts w:ascii="仿宋_GB2312" w:hAnsi="仿宋_GB2312" w:cs="仿宋_GB2312" w:eastAsia="仿宋_GB2312"/>
                <w:sz w:val="24"/>
              </w:rPr>
              <w:t>蒲城县文化广场服务中心</w:t>
            </w:r>
            <w:r>
              <w:rPr>
                <w:rFonts w:ascii="仿宋_GB2312" w:hAnsi="仿宋_GB2312" w:cs="仿宋_GB2312" w:eastAsia="仿宋_GB2312"/>
                <w:sz w:val="24"/>
              </w:rPr>
              <w:t>2026</w:t>
            </w:r>
            <w:r>
              <w:rPr>
                <w:rFonts w:ascii="仿宋_GB2312" w:hAnsi="仿宋_GB2312" w:cs="仿宋_GB2312" w:eastAsia="仿宋_GB2312"/>
                <w:sz w:val="24"/>
              </w:rPr>
              <w:t>年度城区各广场绿化养护服务项目</w:t>
            </w:r>
          </w:p>
          <w:p>
            <w:pPr>
              <w:pStyle w:val="null3"/>
              <w:ind w:firstLine="499"/>
              <w:jc w:val="both"/>
            </w:pPr>
            <w:r>
              <w:rPr>
                <w:rFonts w:ascii="仿宋_GB2312" w:hAnsi="仿宋_GB2312" w:cs="仿宋_GB2312" w:eastAsia="仿宋_GB2312"/>
                <w:sz w:val="24"/>
              </w:rPr>
              <w:t>蒲城县各广场（文化广场，昆元广场，漫泉广场，重泉广场，朝阳广场）及县委，人大，政府，政协，武装部门前，廉政教育门前，党校门前小广场的绿化</w:t>
            </w:r>
            <w:r>
              <w:rPr>
                <w:rFonts w:ascii="仿宋_GB2312" w:hAnsi="仿宋_GB2312" w:cs="仿宋_GB2312" w:eastAsia="仿宋_GB2312"/>
                <w:sz w:val="24"/>
              </w:rPr>
              <w:t>进行</w:t>
            </w:r>
            <w:r>
              <w:rPr>
                <w:rFonts w:ascii="仿宋_GB2312" w:hAnsi="仿宋_GB2312" w:cs="仿宋_GB2312" w:eastAsia="仿宋_GB2312"/>
                <w:sz w:val="24"/>
              </w:rPr>
              <w:t>养护，</w:t>
            </w:r>
            <w:r>
              <w:rPr>
                <w:rFonts w:ascii="仿宋_GB2312" w:hAnsi="仿宋_GB2312" w:cs="仿宋_GB2312" w:eastAsia="仿宋_GB2312"/>
                <w:sz w:val="24"/>
              </w:rPr>
              <w:t>现将有关事项通知如下</w:t>
            </w:r>
            <w:r>
              <w:rPr>
                <w:rFonts w:ascii="仿宋_GB2312" w:hAnsi="仿宋_GB2312" w:cs="仿宋_GB2312" w:eastAsia="仿宋_GB2312"/>
                <w:sz w:val="24"/>
              </w:rPr>
              <w:t>:</w:t>
            </w:r>
          </w:p>
          <w:p>
            <w:pPr>
              <w:pStyle w:val="null3"/>
              <w:ind w:firstLine="499"/>
              <w:jc w:val="both"/>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各广场及县委等绿化面积</w:t>
            </w:r>
            <w:r>
              <w:rPr>
                <w:rFonts w:ascii="仿宋_GB2312" w:hAnsi="仿宋_GB2312" w:cs="仿宋_GB2312" w:eastAsia="仿宋_GB2312"/>
                <w:sz w:val="24"/>
              </w:rPr>
              <w:t>共</w:t>
            </w:r>
            <w:r>
              <w:rPr>
                <w:rFonts w:ascii="仿宋_GB2312" w:hAnsi="仿宋_GB2312" w:cs="仿宋_GB2312" w:eastAsia="仿宋_GB2312"/>
                <w:sz w:val="24"/>
              </w:rPr>
              <w:t>约</w:t>
            </w:r>
            <w:r>
              <w:rPr>
                <w:rFonts w:ascii="仿宋_GB2312" w:hAnsi="仿宋_GB2312" w:cs="仿宋_GB2312" w:eastAsia="仿宋_GB2312"/>
                <w:sz w:val="24"/>
              </w:rPr>
              <w:t>3.96万平方米。</w:t>
            </w:r>
          </w:p>
          <w:p>
            <w:pPr>
              <w:pStyle w:val="null3"/>
              <w:ind w:firstLine="499"/>
              <w:jc w:val="both"/>
            </w:pPr>
            <w:r>
              <w:rPr>
                <w:rFonts w:ascii="仿宋_GB2312" w:hAnsi="仿宋_GB2312" w:cs="仿宋_GB2312" w:eastAsia="仿宋_GB2312"/>
                <w:sz w:val="24"/>
              </w:rPr>
              <w:t>二</w:t>
            </w:r>
            <w:r>
              <w:rPr>
                <w:rFonts w:ascii="仿宋_GB2312" w:hAnsi="仿宋_GB2312" w:cs="仿宋_GB2312" w:eastAsia="仿宋_GB2312"/>
                <w:sz w:val="24"/>
              </w:rPr>
              <w:t>、技术要求</w:t>
            </w:r>
          </w:p>
          <w:p>
            <w:pPr>
              <w:pStyle w:val="null3"/>
              <w:ind w:firstLine="499"/>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修剪</w:t>
            </w:r>
          </w:p>
          <w:p>
            <w:pPr>
              <w:pStyle w:val="null3"/>
              <w:ind w:firstLine="499"/>
              <w:jc w:val="both"/>
            </w:pPr>
            <w:r>
              <w:rPr>
                <w:rFonts w:ascii="仿宋_GB2312" w:hAnsi="仿宋_GB2312" w:cs="仿宋_GB2312" w:eastAsia="仿宋_GB2312"/>
                <w:sz w:val="24"/>
              </w:rPr>
              <w:t>绿化技术工人使用绿篱割灌机，枝剪，手锯等进行修剪，</w:t>
            </w:r>
            <w:r>
              <w:rPr>
                <w:rFonts w:ascii="仿宋_GB2312" w:hAnsi="仿宋_GB2312" w:cs="仿宋_GB2312" w:eastAsia="仿宋_GB2312"/>
                <w:sz w:val="24"/>
              </w:rPr>
              <w:t>乔灌木修剪每年</w:t>
            </w:r>
            <w:r>
              <w:rPr>
                <w:rFonts w:ascii="仿宋_GB2312" w:hAnsi="仿宋_GB2312" w:cs="仿宋_GB2312" w:eastAsia="仿宋_GB2312"/>
                <w:sz w:val="24"/>
              </w:rPr>
              <w:t>7</w:t>
            </w:r>
            <w:r>
              <w:rPr>
                <w:rFonts w:ascii="仿宋_GB2312" w:hAnsi="仿宋_GB2312" w:cs="仿宋_GB2312" w:eastAsia="仿宋_GB2312"/>
                <w:sz w:val="24"/>
              </w:rPr>
              <w:t>次以上，基本做到无枯枝、病虫枝、徒长枝</w:t>
            </w:r>
            <w:r>
              <w:rPr>
                <w:rFonts w:ascii="仿宋_GB2312" w:hAnsi="仿宋_GB2312" w:cs="仿宋_GB2312" w:eastAsia="仿宋_GB2312"/>
                <w:sz w:val="24"/>
              </w:rPr>
              <w:t>；绿</w:t>
            </w:r>
            <w:r>
              <w:rPr>
                <w:rFonts w:ascii="仿宋_GB2312" w:hAnsi="仿宋_GB2312" w:cs="仿宋_GB2312" w:eastAsia="仿宋_GB2312"/>
                <w:sz w:val="24"/>
              </w:rPr>
              <w:t>篱、球、造型植树物及时修剪，每年不少于</w:t>
            </w:r>
            <w:r>
              <w:rPr>
                <w:rFonts w:ascii="仿宋_GB2312" w:hAnsi="仿宋_GB2312" w:cs="仿宋_GB2312" w:eastAsia="仿宋_GB2312"/>
                <w:sz w:val="24"/>
              </w:rPr>
              <w:t>7</w:t>
            </w:r>
            <w:r>
              <w:rPr>
                <w:rFonts w:ascii="仿宋_GB2312" w:hAnsi="仿宋_GB2312" w:cs="仿宋_GB2312" w:eastAsia="仿宋_GB2312"/>
                <w:sz w:val="24"/>
              </w:rPr>
              <w:t>次</w:t>
            </w:r>
            <w:r>
              <w:rPr>
                <w:rFonts w:ascii="仿宋_GB2312" w:hAnsi="仿宋_GB2312" w:cs="仿宋_GB2312" w:eastAsia="仿宋_GB2312"/>
                <w:sz w:val="24"/>
              </w:rPr>
              <w:t>，做到枝叶紧密、圆整、</w:t>
            </w:r>
            <w:r>
              <w:rPr>
                <w:rFonts w:ascii="仿宋_GB2312" w:hAnsi="仿宋_GB2312" w:cs="仿宋_GB2312" w:eastAsia="仿宋_GB2312"/>
                <w:sz w:val="24"/>
              </w:rPr>
              <w:t>美观、</w:t>
            </w:r>
            <w:r>
              <w:rPr>
                <w:rFonts w:ascii="仿宋_GB2312" w:hAnsi="仿宋_GB2312" w:cs="仿宋_GB2312" w:eastAsia="仿宋_GB2312"/>
                <w:sz w:val="24"/>
              </w:rPr>
              <w:t>无脱节</w:t>
            </w:r>
            <w:r>
              <w:rPr>
                <w:rFonts w:ascii="仿宋_GB2312" w:hAnsi="仿宋_GB2312" w:cs="仿宋_GB2312" w:eastAsia="仿宋_GB2312"/>
                <w:sz w:val="24"/>
              </w:rPr>
              <w:t>；</w:t>
            </w:r>
            <w:r>
              <w:rPr>
                <w:rFonts w:ascii="仿宋_GB2312" w:hAnsi="仿宋_GB2312" w:cs="仿宋_GB2312" w:eastAsia="仿宋_GB2312"/>
                <w:sz w:val="24"/>
              </w:rPr>
              <w:t>地被、攀援植物修剪及时，每年不少于</w:t>
            </w:r>
            <w:r>
              <w:rPr>
                <w:rFonts w:ascii="仿宋_GB2312" w:hAnsi="仿宋_GB2312" w:cs="仿宋_GB2312" w:eastAsia="仿宋_GB2312"/>
                <w:sz w:val="24"/>
              </w:rPr>
              <w:t>7</w:t>
            </w:r>
            <w:r>
              <w:rPr>
                <w:rFonts w:ascii="仿宋_GB2312" w:hAnsi="仿宋_GB2312" w:cs="仿宋_GB2312" w:eastAsia="仿宋_GB2312"/>
                <w:sz w:val="24"/>
              </w:rPr>
              <w:t>遍</w:t>
            </w:r>
            <w:r>
              <w:rPr>
                <w:rFonts w:ascii="仿宋_GB2312" w:hAnsi="仿宋_GB2312" w:cs="仿宋_GB2312" w:eastAsia="仿宋_GB2312"/>
                <w:sz w:val="24"/>
              </w:rPr>
              <w:t>，</w:t>
            </w:r>
            <w:r>
              <w:rPr>
                <w:rFonts w:ascii="仿宋_GB2312" w:hAnsi="仿宋_GB2312" w:cs="仿宋_GB2312" w:eastAsia="仿宋_GB2312"/>
                <w:sz w:val="24"/>
              </w:rPr>
              <w:t>植物经修剪后不</w:t>
            </w:r>
            <w:r>
              <w:rPr>
                <w:rFonts w:ascii="仿宋_GB2312" w:hAnsi="仿宋_GB2312" w:cs="仿宋_GB2312" w:eastAsia="仿宋_GB2312"/>
                <w:sz w:val="24"/>
              </w:rPr>
              <w:t>能</w:t>
            </w:r>
            <w:r>
              <w:rPr>
                <w:rFonts w:ascii="仿宋_GB2312" w:hAnsi="仿宋_GB2312" w:cs="仿宋_GB2312" w:eastAsia="仿宋_GB2312"/>
                <w:sz w:val="24"/>
              </w:rPr>
              <w:t>影响</w:t>
            </w:r>
            <w:r>
              <w:rPr>
                <w:rFonts w:ascii="仿宋_GB2312" w:hAnsi="仿宋_GB2312" w:cs="仿宋_GB2312" w:eastAsia="仿宋_GB2312"/>
                <w:sz w:val="24"/>
              </w:rPr>
              <w:t>人员车辆</w:t>
            </w:r>
            <w:r>
              <w:rPr>
                <w:rFonts w:ascii="仿宋_GB2312" w:hAnsi="仿宋_GB2312" w:cs="仿宋_GB2312" w:eastAsia="仿宋_GB2312"/>
                <w:sz w:val="24"/>
              </w:rPr>
              <w:t>通行</w:t>
            </w:r>
            <w:r>
              <w:rPr>
                <w:rFonts w:ascii="仿宋_GB2312" w:hAnsi="仿宋_GB2312" w:cs="仿宋_GB2312" w:eastAsia="仿宋_GB2312"/>
                <w:sz w:val="24"/>
              </w:rPr>
              <w:t>，及时清理修剪现场垃圾。</w:t>
            </w:r>
          </w:p>
          <w:p>
            <w:pPr>
              <w:pStyle w:val="null3"/>
              <w:ind w:firstLine="499"/>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）浇灌</w:t>
            </w:r>
          </w:p>
          <w:p>
            <w:pPr>
              <w:pStyle w:val="null3"/>
              <w:ind w:firstLine="499"/>
              <w:jc w:val="both"/>
            </w:pPr>
            <w:r>
              <w:rPr>
                <w:rFonts w:ascii="仿宋_GB2312" w:hAnsi="仿宋_GB2312" w:cs="仿宋_GB2312" w:eastAsia="仿宋_GB2312"/>
                <w:sz w:val="24"/>
              </w:rPr>
              <w:t>根据苗木和地被植物的生长需求进行浇水，施肥，夏季干旱时及时浇水，保证苗木正常生长，秋冬加强冬灌，施肥，保证苗木来年生长良好。</w:t>
            </w:r>
          </w:p>
          <w:p>
            <w:pPr>
              <w:pStyle w:val="null3"/>
              <w:ind w:firstLine="499"/>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清理杂草</w:t>
            </w:r>
          </w:p>
          <w:p>
            <w:pPr>
              <w:pStyle w:val="null3"/>
              <w:ind w:firstLine="499"/>
              <w:jc w:val="both"/>
            </w:pPr>
            <w:r>
              <w:rPr>
                <w:rFonts w:ascii="仿宋_GB2312" w:hAnsi="仿宋_GB2312" w:cs="仿宋_GB2312" w:eastAsia="仿宋_GB2312"/>
                <w:sz w:val="24"/>
              </w:rPr>
              <w:t>苗木生长季节及时清除绿化带内杂草，不得有高于草坪和地被植物的杂草，保证绿化区域整齐美观，保证优良的景观效果。</w:t>
            </w:r>
          </w:p>
          <w:p>
            <w:pPr>
              <w:pStyle w:val="null3"/>
              <w:ind w:firstLine="499"/>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病虫害防治</w:t>
            </w:r>
          </w:p>
          <w:p>
            <w:pPr>
              <w:pStyle w:val="null3"/>
              <w:ind w:firstLine="499"/>
              <w:jc w:val="left"/>
            </w:pPr>
            <w:r>
              <w:rPr>
                <w:rFonts w:ascii="仿宋_GB2312" w:hAnsi="仿宋_GB2312" w:cs="仿宋_GB2312" w:eastAsia="仿宋_GB2312"/>
                <w:sz w:val="24"/>
              </w:rPr>
              <w:t>养护工人使用喷药机进行喷药以防为主，综合防治，常检查，早发现早处理。严禁使用国家明令禁止的剧毒，高毒，高残留农药，尽量使用生物农药，以减少对环境的污染。</w:t>
            </w:r>
          </w:p>
          <w:p>
            <w:pPr>
              <w:pStyle w:val="null3"/>
              <w:ind w:firstLine="499"/>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）树木涂白</w:t>
            </w:r>
          </w:p>
          <w:p>
            <w:pPr>
              <w:pStyle w:val="null3"/>
              <w:ind w:firstLine="499"/>
            </w:pPr>
            <w:r>
              <w:rPr>
                <w:rFonts w:ascii="仿宋_GB2312" w:hAnsi="仿宋_GB2312" w:cs="仿宋_GB2312" w:eastAsia="仿宋_GB2312"/>
                <w:sz w:val="24"/>
                <w:color w:val="2F2F2F"/>
                <w:shd w:fill="FBFBFB" w:val="clear"/>
              </w:rPr>
              <w:t>秋冬季节，树木使用涂白剂，既可杀虫灭菌、保温防冻，促进树木健康生长，又能美化环境。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服务要求为实质性要求，不得负偏离。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蒲城县各广场（文化广场，昆元广场，漫泉广场，重泉广场，朝阳广场）及县委，人大，政府，政协，武装部门前，廉政教育门前，党校门前小广场。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达到采购人要求及符合竞争性磋商文件，由采购人签发验收合格单。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合同执行完毕且经甲方验收合格后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1、在磋商截止时间前撤回已提交磋商响应文件的供应商的磋商保证金，将在采购代理机构收到供应商书面撤回通知之日起5个工作日内退还。 2、所有未成交供应商的磋商保证金，将在成交通知书发出后5个工作日内退还。 3、成交的供应商的磋商保证金在签订合同后，执合同予以5个工作日内退还。 4、成交人在领取成交通知书时提供一正（红色公章）两副（不作要求）纸质版响应文件。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2024年度财务报告（成立时间至开标时间不足一年的可提供成立后任意时段的资产负债表）或开标前六个月内其基本开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税收缴纳证明：提供2025年2月至今任意一个月的缴纳凭据；（增值税、企业所得税至少提供一种，依法免税的供应商应提供相关文件证明）。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社会保障资金缴纳证明：提供2025年7月至今任意一个月的社保缴纳凭据或社保机构开具的社会保险参保缴纳情况证明；（依法不需要缴纳社会保障资金的供应商应提供相关证明）。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2025年9月至今任意一个月在本单位的社保资金缴纳凭证）；法定代表人直接参加磋商提供法定代表人资格证明书（附法定代表人身份证复印件）；采购文件凡是法定代表人之处，非法人单位的负责人均参照执行； (式样见文件格式)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磋商响应文件全部按照磋商文件的要求盖章签字</w:t>
            </w:r>
          </w:p>
        </w:tc>
        <w:tc>
          <w:tcPr>
            <w:tcW w:type="dxa" w:w="1661"/>
          </w:tcPr>
          <w:p>
            <w:pPr>
              <w:pStyle w:val="null3"/>
            </w:pPr>
            <w:r>
              <w:rPr>
                <w:rFonts w:ascii="仿宋_GB2312" w:hAnsi="仿宋_GB2312" w:cs="仿宋_GB2312" w:eastAsia="仿宋_GB2312"/>
              </w:rPr>
              <w:t>响应文件封面 《拒绝政府采购领域商业贿赂承诺书》.docx 中小企业声明函 残疾人福利性单位声明函 标的清单 分项报价.docx 响应偏离表.docx 响应函 监狱企业的证明文件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响应函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对磋商文件商务要求是否作出明确且实质性响应</w:t>
            </w:r>
          </w:p>
        </w:tc>
        <w:tc>
          <w:tcPr>
            <w:tcW w:type="dxa" w:w="3322"/>
          </w:tcPr>
          <w:p>
            <w:pPr>
              <w:pStyle w:val="null3"/>
            </w:pPr>
            <w:r>
              <w:rPr>
                <w:rFonts w:ascii="仿宋_GB2312" w:hAnsi="仿宋_GB2312" w:cs="仿宋_GB2312" w:eastAsia="仿宋_GB2312"/>
              </w:rPr>
              <w:t>对磋商文件商务要求已作出明确且实质性响应，无负偏离。</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对磋商文件技术要求是否作出明确响应，对不得偏离的要求是否作了实质性响应</w:t>
            </w:r>
          </w:p>
        </w:tc>
        <w:tc>
          <w:tcPr>
            <w:tcW w:type="dxa" w:w="3322"/>
          </w:tcPr>
          <w:p>
            <w:pPr>
              <w:pStyle w:val="null3"/>
            </w:pPr>
            <w:r>
              <w:rPr>
                <w:rFonts w:ascii="仿宋_GB2312" w:hAnsi="仿宋_GB2312" w:cs="仿宋_GB2312" w:eastAsia="仿宋_GB2312"/>
              </w:rPr>
              <w:t>对磋商文件技术要求已作出明确响应，对不得偏离的要求已作了实质性响应，无负偏离。</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其他无效响应情形</w:t>
            </w:r>
          </w:p>
        </w:tc>
        <w:tc>
          <w:tcPr>
            <w:tcW w:type="dxa" w:w="3322"/>
          </w:tcPr>
          <w:p>
            <w:pPr>
              <w:pStyle w:val="null3"/>
            </w:pPr>
            <w:r>
              <w:rPr>
                <w:rFonts w:ascii="仿宋_GB2312" w:hAnsi="仿宋_GB2312" w:cs="仿宋_GB2312" w:eastAsia="仿宋_GB2312"/>
              </w:rPr>
              <w:t>不存在法律、法规和磋商文件规定的其他无效响应情形</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评审得分相同的，绿化养护方案得分高者为第一成交候选人，若上述两项得分相同，项目负责人得分高者为第一成交候选人，若上述得分均相同则由全体磋商小组成员无记名投票，得票高者为第一成交候选人。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绿化养护方案</w:t>
            </w:r>
          </w:p>
        </w:tc>
        <w:tc>
          <w:tcPr>
            <w:tcW w:type="dxa" w:w="2492"/>
          </w:tcPr>
          <w:p>
            <w:pPr>
              <w:pStyle w:val="null3"/>
            </w:pPr>
            <w:r>
              <w:rPr>
                <w:rFonts w:ascii="仿宋_GB2312" w:hAnsi="仿宋_GB2312" w:cs="仿宋_GB2312" w:eastAsia="仿宋_GB2312"/>
              </w:rPr>
              <w:t>包含但不限于：①根据各季节气候特点进行详细描述养护作业计划与流程（包括浇水、施肥、修剪、整形、除杂草等）；②质量巡检机制；③验收流程；④病虫害防治方案；⑤工作组织方案等。 评审标准：方案各项内容全面详细、阐述条理清晰、具有针对性、合理可行得15分。每有一项缺项扣3分，每有一处内容存在缺陷，扣1分，扣完为止，未提供相关内容本项不计分。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绿化养护方案.docx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项目负责人具有园林绿化相关专业中级或以上职称的计3分。 注：（需提供人员相关证明文件加盖单位公章，否则不得分）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项目负责人.docx</w:t>
            </w:r>
          </w:p>
        </w:tc>
      </w:tr>
      <w:tr>
        <w:tc>
          <w:tcPr>
            <w:tcW w:type="dxa" w:w="831"/>
            <w:vMerge/>
          </w:tcPr>
          <w:p/>
        </w:tc>
        <w:tc>
          <w:tcPr>
            <w:tcW w:type="dxa" w:w="1661"/>
          </w:tcPr>
          <w:p>
            <w:pPr>
              <w:pStyle w:val="null3"/>
            </w:pPr>
            <w:r>
              <w:rPr>
                <w:rFonts w:ascii="仿宋_GB2312" w:hAnsi="仿宋_GB2312" w:cs="仿宋_GB2312" w:eastAsia="仿宋_GB2312"/>
              </w:rPr>
              <w:t>拟投入团队人员</w:t>
            </w:r>
          </w:p>
        </w:tc>
        <w:tc>
          <w:tcPr>
            <w:tcW w:type="dxa" w:w="2492"/>
          </w:tcPr>
          <w:p>
            <w:pPr>
              <w:pStyle w:val="null3"/>
            </w:pPr>
            <w:r>
              <w:rPr>
                <w:rFonts w:ascii="仿宋_GB2312" w:hAnsi="仿宋_GB2312" w:cs="仿宋_GB2312" w:eastAsia="仿宋_GB2312"/>
              </w:rPr>
              <w:t>包含但不限于：①人员配备情况、②项目负责人及团队人员责任制度；③职责划分；④专业搭配合理；⑤承诺上岗人员固定不随意更换,确保服务工作的正常进行；⑥定期对人员培训等； 评审标准：各项内容全面详细、阐述条理清晰、具有针对性、合理可行得12分。每有一项缺项扣2分，每有一处内容存在缺陷，扣1分，扣完为止，未提供相关内容本项不计分。 备注：缺陷是指专业搭配不合理，职责划分不具体，人员配置数量不满足实际需求等任意一种情形。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拟投入团队人员.docx</w:t>
            </w:r>
          </w:p>
        </w:tc>
      </w:tr>
      <w:tr>
        <w:tc>
          <w:tcPr>
            <w:tcW w:type="dxa" w:w="831"/>
            <w:vMerge/>
          </w:tcPr>
          <w:p/>
        </w:tc>
        <w:tc>
          <w:tcPr>
            <w:tcW w:type="dxa" w:w="1661"/>
          </w:tcPr>
          <w:p>
            <w:pPr>
              <w:pStyle w:val="null3"/>
            </w:pPr>
            <w:r>
              <w:rPr>
                <w:rFonts w:ascii="仿宋_GB2312" w:hAnsi="仿宋_GB2312" w:cs="仿宋_GB2312" w:eastAsia="仿宋_GB2312"/>
              </w:rPr>
              <w:t>服务承诺方案</w:t>
            </w:r>
          </w:p>
        </w:tc>
        <w:tc>
          <w:tcPr>
            <w:tcW w:type="dxa" w:w="2492"/>
          </w:tcPr>
          <w:p>
            <w:pPr>
              <w:pStyle w:val="null3"/>
            </w:pPr>
            <w:r>
              <w:rPr>
                <w:rFonts w:ascii="仿宋_GB2312" w:hAnsi="仿宋_GB2312" w:cs="仿宋_GB2312" w:eastAsia="仿宋_GB2312"/>
              </w:rPr>
              <w:t>包含但不限于：①需要达到的质量标准；②服务期内的质量保证承诺；③服务响应的时间；④在合作期内能提供的特色增值服务；⑤接受采购人对服务的考核、监督及管理等。 评审标准：方案各项内容全面详细、阐述条理清晰、具有针对性、合理可行得15分。每有一项缺项扣3分，每有一处内容存在缺陷，扣1分，扣完为止，未提供相关内容本项不计分。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包含但不限于：①安全事故应急预案；②重大节假日或活动应急预案；③各类自然灾害应急预案；④极端天气应急预案；⑤重大接待、检查任务应急预案等； 评审标准：方案各项内容全面详细、阐述条理清晰、具有针对性、合理可行得10分。每有一项缺项扣2分，每有一处内容存在缺陷，扣1分，扣完为止，未提供相关内容本项不计分。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内部管理制度方案</w:t>
            </w:r>
          </w:p>
        </w:tc>
        <w:tc>
          <w:tcPr>
            <w:tcW w:type="dxa" w:w="2492"/>
          </w:tcPr>
          <w:p>
            <w:pPr>
              <w:pStyle w:val="null3"/>
            </w:pPr>
            <w:r>
              <w:rPr>
                <w:rFonts w:ascii="仿宋_GB2312" w:hAnsi="仿宋_GB2312" w:cs="仿宋_GB2312" w:eastAsia="仿宋_GB2312"/>
              </w:rPr>
              <w:t>包含但不限于：①组织架构及公司内部管理制度；②机具管理方案；③巡查措施；④发现问题、上报及处置机制；⑤现场养护、操作人员管理方案；⑥奖惩机制等； 评审标准：方案各项内容全面详细、阐述条理清晰、具有针对性、合理可行得12分。每有一项缺项扣2分，每有一处内容存在缺陷，扣1分，扣完为止，未提供相关内容本项不计分。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内部管理制度方案.docx</w:t>
            </w:r>
          </w:p>
        </w:tc>
      </w:tr>
      <w:tr>
        <w:tc>
          <w:tcPr>
            <w:tcW w:type="dxa" w:w="831"/>
            <w:vMerge/>
          </w:tcPr>
          <w:p/>
        </w:tc>
        <w:tc>
          <w:tcPr>
            <w:tcW w:type="dxa" w:w="1661"/>
          </w:tcPr>
          <w:p>
            <w:pPr>
              <w:pStyle w:val="null3"/>
            </w:pPr>
            <w:r>
              <w:rPr>
                <w:rFonts w:ascii="仿宋_GB2312" w:hAnsi="仿宋_GB2312" w:cs="仿宋_GB2312" w:eastAsia="仿宋_GB2312"/>
              </w:rPr>
              <w:t>安全服务方案</w:t>
            </w:r>
          </w:p>
        </w:tc>
        <w:tc>
          <w:tcPr>
            <w:tcW w:type="dxa" w:w="2492"/>
          </w:tcPr>
          <w:p>
            <w:pPr>
              <w:pStyle w:val="null3"/>
            </w:pPr>
            <w:r>
              <w:rPr>
                <w:rFonts w:ascii="仿宋_GB2312" w:hAnsi="仿宋_GB2312" w:cs="仿宋_GB2312" w:eastAsia="仿宋_GB2312"/>
              </w:rPr>
              <w:t>包含但不限于：①安全制度及防范措施；②安全检查与隐患整改机制；③安全记录与档案管理；④安全责任追究与安全培训等； 评审标准：方案各项内容全面详细、阐述条理清晰、具有针对性、合理可行得8分。每有一项缺项扣2分，每有一处内容存在缺陷，扣1分，扣完为止，未提供相关内容本项不计分。 备注：缺陷是指内容不合理、内容仅有粗略表述不具体、内容表述前后不一致、套用其他项目方案或与项目需求不匹配及其他不利于项目实施等任意一种情形。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包含但不限于：设备种类齐全，涵盖修剪（如高空修剪车、绿篱割灌机，枝剪，手锯）、灌溉（如喷灌设备、滴灌系统）、病虫害防治（如专业喷雾器、诱捕器）等设备，数量充足，设备清单清晰，日常消耗品配备充足，能提高养护效率和质量。 ①设备配备齐全，充分满足需求的计5分； ②设备配备清单笼统，配备数量仅能满足基本要求的计3分； ③设备配备不能满足基本需求的计1分； ④未提供相关内容的本项不计分。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设备投入.docx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以合同形式提供供应商2022年1月至今同类项目业绩，每提供一个业绩证明材料计2分，满分10分。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详见附件：安全服务方案.docx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详见附件：服务承诺方案.docx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详见附件：绿化养护方案.docx</w:t>
      </w:r>
    </w:p>
    <w:p>
      <w:pPr>
        <w:pStyle w:val="null3"/>
        <w:ind w:firstLine="960"/>
      </w:pPr>
      <w:r>
        <w:rPr>
          <w:rFonts w:ascii="仿宋_GB2312" w:hAnsi="仿宋_GB2312" w:cs="仿宋_GB2312" w:eastAsia="仿宋_GB2312"/>
        </w:rPr>
        <w:t>详见附件：内部管理制度方案.docx</w:t>
      </w:r>
    </w:p>
    <w:p>
      <w:pPr>
        <w:pStyle w:val="null3"/>
        <w:ind w:firstLine="960"/>
      </w:pPr>
      <w:r>
        <w:rPr>
          <w:rFonts w:ascii="仿宋_GB2312" w:hAnsi="仿宋_GB2312" w:cs="仿宋_GB2312" w:eastAsia="仿宋_GB2312"/>
        </w:rPr>
        <w:t>详见附件：拟投入团队人员.docx</w:t>
      </w:r>
    </w:p>
    <w:p>
      <w:pPr>
        <w:pStyle w:val="null3"/>
        <w:ind w:firstLine="960"/>
      </w:pPr>
      <w:r>
        <w:rPr>
          <w:rFonts w:ascii="仿宋_GB2312" w:hAnsi="仿宋_GB2312" w:cs="仿宋_GB2312" w:eastAsia="仿宋_GB2312"/>
        </w:rPr>
        <w:t>详见附件：设备投入.docx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