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版本号：HHGL-20260101.1.2B120260204001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蒲城县城北防护（康养）林养护管理项目(二次)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HHGL-20260101.1.2B1</w:t>
      </w:r>
      <w:r>
        <w:br/>
      </w:r>
      <w:r>
        <w:br/>
      </w:r>
      <w:r>
        <w:br/>
      </w:r>
    </w:p>
    <w:p>
      <w:pPr>
        <w:pStyle w:val="null3"/>
        <w:jc w:val="center"/>
        <w:outlineLvl w:val="2"/>
      </w:pPr>
      <w:r>
        <w:rPr>
          <w:rFonts w:ascii="仿宋_GB2312" w:hAnsi="仿宋_GB2312" w:cs="仿宋_GB2312" w:eastAsia="仿宋_GB2312"/>
          <w:sz w:val="28"/>
          <w:b/>
        </w:rPr>
        <w:t>蒲城县林业局</w:t>
      </w:r>
    </w:p>
    <w:p>
      <w:pPr>
        <w:pStyle w:val="null3"/>
        <w:jc w:val="center"/>
        <w:outlineLvl w:val="2"/>
      </w:pPr>
      <w:r>
        <w:rPr>
          <w:rFonts w:ascii="仿宋_GB2312" w:hAnsi="仿宋_GB2312" w:cs="仿宋_GB2312" w:eastAsia="仿宋_GB2312"/>
          <w:sz w:val="28"/>
          <w:b/>
        </w:rPr>
        <w:t>陕西红航企业管理咨询有限公司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陕西红航企业管理咨询有限公司</w:t>
      </w:r>
      <w:r>
        <w:rPr>
          <w:rFonts w:ascii="仿宋_GB2312" w:hAnsi="仿宋_GB2312" w:cs="仿宋_GB2312" w:eastAsia="仿宋_GB2312"/>
        </w:rPr>
        <w:t>（以下简称“代理机构”）受</w:t>
      </w:r>
      <w:r>
        <w:rPr>
          <w:rFonts w:ascii="仿宋_GB2312" w:hAnsi="仿宋_GB2312" w:cs="仿宋_GB2312" w:eastAsia="仿宋_GB2312"/>
        </w:rPr>
        <w:t>蒲城县林业局</w:t>
      </w:r>
      <w:r>
        <w:rPr>
          <w:rFonts w:ascii="仿宋_GB2312" w:hAnsi="仿宋_GB2312" w:cs="仿宋_GB2312" w:eastAsia="仿宋_GB2312"/>
        </w:rPr>
        <w:t>委托，拟对</w:t>
      </w:r>
      <w:r>
        <w:rPr>
          <w:rFonts w:ascii="仿宋_GB2312" w:hAnsi="仿宋_GB2312" w:cs="仿宋_GB2312" w:eastAsia="仿宋_GB2312"/>
        </w:rPr>
        <w:t>蒲城县城北防护（康养）林养护管理项目(二次)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HHGL-20260101.1.2B1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蒲城县城北防护（康养）林养护管理项目(二次)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蒲城县城北防护（康养）林养护管理项目的潜在投标人应在陕西省政府采购综合管理平台项目电子化交易系统（以下简称“项目电子化交易系统”）获取采购文件，并于2026年03月06日10时00分（北京时间）前递交投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采购包1（蒲城县城北防护（康养）林养护管理项目（东区））：属于专门面向中小企业采购。</w:t>
      </w:r>
    </w:p>
    <w:p>
      <w:pPr>
        <w:pStyle w:val="null3"/>
      </w:pPr>
      <w:r>
        <w:rPr>
          <w:rFonts w:ascii="仿宋_GB2312" w:hAnsi="仿宋_GB2312" w:cs="仿宋_GB2312" w:eastAsia="仿宋_GB2312"/>
        </w:rPr>
        <w:t>采购包2（蒲城县城北防护（康养）林养护管理项目（西区））：属于专门面向中小企业采购。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证明：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证明：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提供具有履行合同所必需的设备和专业技术能力的书面承诺：提供具有履行合同所必需的设备和专业技术能力的书面承诺，加盖供应商公章；供应商需在项目电子化交易系统中按要求上传相应证明文件并进行电子签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加盖供应商公章；供应商需在项目电子化交易系统中按要求上传相应证明文件并进行电子签章。</w:t>
      </w:r>
    </w:p>
    <w:p>
      <w:pPr>
        <w:pStyle w:val="null3"/>
      </w:pPr>
      <w:r>
        <w:rPr>
          <w:rFonts w:ascii="仿宋_GB2312" w:hAnsi="仿宋_GB2312" w:cs="仿宋_GB2312" w:eastAsia="仿宋_GB2312"/>
        </w:rPr>
        <w:t>7、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信用证明：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p>
      <w:pPr>
        <w:pStyle w:val="null3"/>
      </w:pPr>
      <w:r>
        <w:rPr>
          <w:rFonts w:ascii="仿宋_GB2312" w:hAnsi="仿宋_GB2312" w:cs="仿宋_GB2312" w:eastAsia="仿宋_GB2312"/>
        </w:rPr>
        <w:t>9、授权委托书/法定代表人身份证明：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10、是否允许联合体投标：本项目不接受联合体投标（提供非联合体投标承诺书）；供应商需在项目电子化交易系统中按要求上传相应证明文件并进行电子签章。</w:t>
      </w:r>
    </w:p>
    <w:p>
      <w:pPr>
        <w:pStyle w:val="null3"/>
      </w:pPr>
      <w:r>
        <w:rPr>
          <w:rFonts w:ascii="仿宋_GB2312" w:hAnsi="仿宋_GB2312" w:cs="仿宋_GB2312" w:eastAsia="仿宋_GB2312"/>
        </w:rPr>
        <w:t>11、是否允许分包：本项目不允许分包。（提供不分包、转包承诺书）。供应商需在项目电子化交易系统中按要求上传相应证明文件并进行电子签章。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社保缴纳证明：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p>
      <w:pPr>
        <w:pStyle w:val="null3"/>
      </w:pPr>
      <w:r>
        <w:rPr>
          <w:rFonts w:ascii="仿宋_GB2312" w:hAnsi="仿宋_GB2312" w:cs="仿宋_GB2312" w:eastAsia="仿宋_GB2312"/>
        </w:rPr>
        <w:t>4、税收缴纳证明：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p>
      <w:pPr>
        <w:pStyle w:val="null3"/>
      </w:pPr>
      <w:r>
        <w:rPr>
          <w:rFonts w:ascii="仿宋_GB2312" w:hAnsi="仿宋_GB2312" w:cs="仿宋_GB2312" w:eastAsia="仿宋_GB2312"/>
        </w:rPr>
        <w:t>5、提供具有履行合同所必需的设备和专业技术能力的书面承诺：提供具有履行合同所必需的设备和专业技术能力的书面承诺，加盖供应商公章；供应商需在项目电子化交易系统中按要求上传相应证明文件并进行电子签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加盖供应商公章；供应商需在项目电子化交易系统中按要求上传相应证明文件并进行电子签章。</w:t>
      </w:r>
    </w:p>
    <w:p>
      <w:pPr>
        <w:pStyle w:val="null3"/>
      </w:pPr>
      <w:r>
        <w:rPr>
          <w:rFonts w:ascii="仿宋_GB2312" w:hAnsi="仿宋_GB2312" w:cs="仿宋_GB2312" w:eastAsia="仿宋_GB2312"/>
        </w:rPr>
        <w:t>7、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8、信用证明：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p>
      <w:pPr>
        <w:pStyle w:val="null3"/>
      </w:pPr>
      <w:r>
        <w:rPr>
          <w:rFonts w:ascii="仿宋_GB2312" w:hAnsi="仿宋_GB2312" w:cs="仿宋_GB2312" w:eastAsia="仿宋_GB2312"/>
        </w:rPr>
        <w:t>9、授权委托书/法定代表人身份证明：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p>
      <w:pPr>
        <w:pStyle w:val="null3"/>
      </w:pPr>
      <w:r>
        <w:rPr>
          <w:rFonts w:ascii="仿宋_GB2312" w:hAnsi="仿宋_GB2312" w:cs="仿宋_GB2312" w:eastAsia="仿宋_GB2312"/>
        </w:rPr>
        <w:t>10、是否允许联合体投标：本项目不接受联合体投标（提供非联合体投标承诺书）；供应商需在项目电子化交易系统中按要求上传相应证明文件并进行电子签章。</w:t>
      </w:r>
    </w:p>
    <w:p>
      <w:pPr>
        <w:pStyle w:val="null3"/>
      </w:pPr>
      <w:r>
        <w:rPr>
          <w:rFonts w:ascii="仿宋_GB2312" w:hAnsi="仿宋_GB2312" w:cs="仿宋_GB2312" w:eastAsia="仿宋_GB2312"/>
        </w:rPr>
        <w:t>11、是否允许分包：本项目不允许分包。（提供不分包、转包承诺书）。供应商需在项目电子化交易系统中按要求上传相应证明文件并进行电子签章。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蒲城县迎宾路南段广电大楼三楼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13279390603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陕西红航企业管理咨询有限公司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陕西省西安市碑林区环城南路东段58号D座2层08室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强工、辛工、谷工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029-81218964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号）、以及发改价格〔2011〕534 号文中规定标准收取。 代理服务费缴纳账号： 账户名称：陕西红航企业管理咨询有限公司 开户银行：中国建设银行股份有限公司西安长安区长乐小区支行 账 号：61050170523700001062 联系人：强小龙 联系电话：029-81218964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蒲城县林业局</w:t>
      </w:r>
      <w:r>
        <w:rPr>
          <w:rFonts w:ascii="仿宋_GB2312" w:hAnsi="仿宋_GB2312" w:cs="仿宋_GB2312" w:eastAsia="仿宋_GB2312"/>
        </w:rPr>
        <w:t>和</w:t>
      </w:r>
      <w:r>
        <w:rPr>
          <w:rFonts w:ascii="仿宋_GB2312" w:hAnsi="仿宋_GB2312" w:cs="仿宋_GB2312" w:eastAsia="仿宋_GB2312"/>
        </w:rPr>
        <w:t>陕西红航企业管理咨询有限公司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陕西红航企业管理咨询有限公司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陕西红航企业管理咨询有限公司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技术标准：需满足的要求:符合国家和行业标准。服务期内，确保林区环境卫生整洁、设施运行安全、植被生长良好、无重大火灾及病虫害发生，考核合格率达到95%以上。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技术标准：需满足的要求:符合国家和行业标准。服务期内，确保林区环境卫生整洁、设施运行安全、植被生长良好、无重大火灾及病虫害发生，考核合格率达到95%以上。</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陕西红航企业管理咨询有限公司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联系人：强工</w:t>
      </w:r>
    </w:p>
    <w:p>
      <w:pPr>
        <w:pStyle w:val="null3"/>
      </w:pPr>
      <w:r>
        <w:rPr>
          <w:rFonts w:ascii="仿宋_GB2312" w:hAnsi="仿宋_GB2312" w:cs="仿宋_GB2312" w:eastAsia="仿宋_GB2312"/>
        </w:rPr>
        <w:t>联系电话：029-81218964</w:t>
      </w:r>
    </w:p>
    <w:p>
      <w:pPr>
        <w:pStyle w:val="null3"/>
      </w:pPr>
      <w:r>
        <w:rPr>
          <w:rFonts w:ascii="仿宋_GB2312" w:hAnsi="仿宋_GB2312" w:cs="仿宋_GB2312" w:eastAsia="仿宋_GB2312"/>
        </w:rPr>
        <w:t>地址：陕西省西安市碑林区环城南路东段58号D座2层08室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蒲城县防护林南至北环路，北至五陵路，西至蒲白运煤专线，东至东城大道。涉及尧山镇、奉先街道、紫荆街道3个镇(街道)，9个行政村，总面积约8502亩。其中林地4320.8亩，园地、道路、管护房、广场、停车场等共计2305.9亩，管护面积共计6626.7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蒲城县城北防护（康养）林养护管理项目（东区）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蒲城县城北防护（康养）林养护管理项目（西区）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标的名称：蒲城县城北防护（康养）林养护管理项目（东区）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蒲城县防护林南至北环路，北至五陵路，西至蒲白运煤专线，东至东城大道。涉及尧山镇、奉先街道、紫荆街道</w:t>
            </w:r>
            <w:r>
              <w:rPr>
                <w:rFonts w:ascii="仿宋_GB2312" w:hAnsi="仿宋_GB2312" w:cs="仿宋_GB2312" w:eastAsia="仿宋_GB2312"/>
                <w:sz w:val="24"/>
              </w:rPr>
              <w:t>3个镇(街道)，9个行政村，总面积约8502亩。其中林地4320.8亩，园地、道路、管护房、广场、停车场等共计2305.9亩，管护面积共计6626.7亩。</w:t>
            </w:r>
          </w:p>
          <w:p>
            <w:pPr>
              <w:pStyle w:val="null3"/>
              <w:ind w:firstLine="482"/>
              <w:jc w:val="both"/>
            </w:pPr>
            <w:r>
              <w:rPr>
                <w:rFonts w:ascii="仿宋_GB2312" w:hAnsi="仿宋_GB2312" w:cs="仿宋_GB2312" w:eastAsia="仿宋_GB2312"/>
                <w:sz w:val="24"/>
                <w:b/>
              </w:rPr>
              <w:t>一、管护内容概况</w:t>
            </w:r>
          </w:p>
          <w:p>
            <w:pPr>
              <w:pStyle w:val="null3"/>
              <w:ind w:firstLine="480"/>
              <w:jc w:val="both"/>
            </w:pPr>
            <w:r>
              <w:rPr>
                <w:rFonts w:ascii="仿宋_GB2312" w:hAnsi="仿宋_GB2312" w:cs="仿宋_GB2312" w:eastAsia="仿宋_GB2312"/>
                <w:sz w:val="24"/>
              </w:rPr>
              <w:t>本项目管护范围涵盖林地与各类配套设施，具体如下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1.林地管护</w:t>
            </w:r>
            <w:r>
              <w:rPr>
                <w:rFonts w:ascii="仿宋_GB2312" w:hAnsi="仿宋_GB2312" w:cs="仿宋_GB2312" w:eastAsia="仿宋_GB2312"/>
                <w:sz w:val="24"/>
                <w:b/>
              </w:rPr>
              <w:t>：</w:t>
            </w:r>
            <w:r>
              <w:rPr>
                <w:rFonts w:ascii="仿宋_GB2312" w:hAnsi="仿宋_GB2312" w:cs="仿宋_GB2312" w:eastAsia="仿宋_GB2312"/>
                <w:sz w:val="24"/>
              </w:rPr>
              <w:t>总面积</w:t>
            </w:r>
            <w:r>
              <w:rPr>
                <w:rFonts w:ascii="仿宋_GB2312" w:hAnsi="仿宋_GB2312" w:cs="仿宋_GB2312" w:eastAsia="仿宋_GB2312"/>
                <w:sz w:val="24"/>
              </w:rPr>
              <w:t>4320.8亩,分为东区2104.6亩(绿植面积为121亩)、西区2216.2亩(绿植面积为66亩)。</w:t>
            </w:r>
          </w:p>
          <w:p>
            <w:pPr>
              <w:pStyle w:val="null3"/>
              <w:ind w:firstLine="482"/>
              <w:jc w:val="both"/>
            </w:pPr>
            <w:r>
              <w:rPr>
                <w:rFonts w:ascii="仿宋_GB2312" w:hAnsi="仿宋_GB2312" w:cs="仿宋_GB2312" w:eastAsia="仿宋_GB2312"/>
                <w:sz w:val="24"/>
                <w:b/>
              </w:rPr>
              <w:t>2.基础设施管护</w:t>
            </w:r>
            <w:r>
              <w:rPr>
                <w:rFonts w:ascii="仿宋_GB2312" w:hAnsi="仿宋_GB2312" w:cs="仿宋_GB2312" w:eastAsia="仿宋_GB2312"/>
                <w:sz w:val="24"/>
                <w:b/>
              </w:rPr>
              <w:t>：</w:t>
            </w:r>
            <w:r>
              <w:rPr>
                <w:rFonts w:ascii="仿宋_GB2312" w:hAnsi="仿宋_GB2312" w:cs="仿宋_GB2312" w:eastAsia="仿宋_GB2312"/>
                <w:sz w:val="24"/>
              </w:rPr>
              <w:t>道路</w:t>
            </w:r>
            <w:r>
              <w:rPr>
                <w:rFonts w:ascii="仿宋_GB2312" w:hAnsi="仿宋_GB2312" w:cs="仿宋_GB2312" w:eastAsia="仿宋_GB2312"/>
                <w:sz w:val="24"/>
              </w:rPr>
              <w:t>13.8公里，茅草亭子2个，成品管理房5个，成品厕所7个，新建管护房3个，新建厕所1个，休闲坐凳和垃圾桶120套。</w:t>
            </w:r>
          </w:p>
          <w:p>
            <w:pPr>
              <w:pStyle w:val="null3"/>
              <w:ind w:firstLine="482"/>
              <w:jc w:val="both"/>
            </w:pPr>
            <w:r>
              <w:rPr>
                <w:rFonts w:ascii="仿宋_GB2312" w:hAnsi="仿宋_GB2312" w:cs="仿宋_GB2312" w:eastAsia="仿宋_GB2312"/>
                <w:sz w:val="24"/>
                <w:b/>
              </w:rPr>
              <w:t>3.设备设施管护</w:t>
            </w:r>
            <w:r>
              <w:rPr>
                <w:rFonts w:ascii="仿宋_GB2312" w:hAnsi="仿宋_GB2312" w:cs="仿宋_GB2312" w:eastAsia="仿宋_GB2312"/>
                <w:sz w:val="24"/>
                <w:b/>
              </w:rPr>
              <w:t>：</w:t>
            </w:r>
            <w:r>
              <w:rPr>
                <w:rFonts w:ascii="仿宋_GB2312" w:hAnsi="仿宋_GB2312" w:cs="仿宋_GB2312" w:eastAsia="仿宋_GB2312"/>
                <w:sz w:val="24"/>
              </w:rPr>
              <w:t>10米太阳能路灯347盏、5米太阳能路灯59盏</w:t>
            </w:r>
            <w:r>
              <w:rPr>
                <w:rFonts w:ascii="仿宋_GB2312" w:hAnsi="仿宋_GB2312" w:cs="仿宋_GB2312" w:eastAsia="仿宋_GB2312"/>
                <w:sz w:val="24"/>
              </w:rPr>
              <w:t>；</w:t>
            </w:r>
            <w:r>
              <w:rPr>
                <w:rFonts w:ascii="仿宋_GB2312" w:hAnsi="仿宋_GB2312" w:cs="仿宋_GB2312" w:eastAsia="仿宋_GB2312"/>
                <w:sz w:val="24"/>
              </w:rPr>
              <w:t>菜地水龙头及水表</w:t>
            </w:r>
            <w:r>
              <w:rPr>
                <w:rFonts w:ascii="仿宋_GB2312" w:hAnsi="仿宋_GB2312" w:cs="仿宋_GB2312" w:eastAsia="仿宋_GB2312"/>
                <w:sz w:val="24"/>
              </w:rPr>
              <w:t>220套</w:t>
            </w:r>
            <w:r>
              <w:rPr>
                <w:rFonts w:ascii="仿宋_GB2312" w:hAnsi="仿宋_GB2312" w:cs="仿宋_GB2312" w:eastAsia="仿宋_GB2312"/>
                <w:sz w:val="24"/>
              </w:rPr>
              <w:t>；录像设备</w:t>
            </w:r>
            <w:r>
              <w:rPr>
                <w:rFonts w:ascii="仿宋_GB2312" w:hAnsi="仿宋_GB2312" w:cs="仿宋_GB2312" w:eastAsia="仿宋_GB2312"/>
                <w:sz w:val="24"/>
              </w:rPr>
              <w:t>1套</w:t>
            </w:r>
            <w:r>
              <w:rPr>
                <w:rFonts w:ascii="仿宋_GB2312" w:hAnsi="仿宋_GB2312" w:cs="仿宋_GB2312" w:eastAsia="仿宋_GB2312"/>
                <w:sz w:val="24"/>
              </w:rPr>
              <w:t>、机井</w:t>
            </w:r>
            <w:r>
              <w:rPr>
                <w:rFonts w:ascii="仿宋_GB2312" w:hAnsi="仿宋_GB2312" w:cs="仿宋_GB2312" w:eastAsia="仿宋_GB2312"/>
                <w:sz w:val="24"/>
              </w:rPr>
              <w:t>水泵</w:t>
            </w:r>
            <w:r>
              <w:rPr>
                <w:rFonts w:ascii="仿宋_GB2312" w:hAnsi="仿宋_GB2312" w:cs="仿宋_GB2312" w:eastAsia="仿宋_GB2312"/>
                <w:sz w:val="24"/>
              </w:rPr>
              <w:t>1套、60KV变压器1套</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二、区域划分及管护职责</w:t>
            </w:r>
          </w:p>
          <w:p>
            <w:pPr>
              <w:pStyle w:val="null3"/>
              <w:ind w:firstLine="480"/>
              <w:jc w:val="both"/>
            </w:pPr>
            <w:r>
              <w:rPr>
                <w:rFonts w:ascii="仿宋_GB2312" w:hAnsi="仿宋_GB2312" w:cs="仿宋_GB2312" w:eastAsia="仿宋_GB2312"/>
                <w:sz w:val="24"/>
              </w:rPr>
              <w:t>以太和村进村路为界限，划分东、西两个管护区域，具体职责如下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1.东区管护范围及内容</w:t>
            </w:r>
          </w:p>
          <w:p>
            <w:pPr>
              <w:pStyle w:val="null3"/>
              <w:ind w:firstLine="480"/>
              <w:jc w:val="both"/>
            </w:pPr>
            <w:r>
              <w:rPr>
                <w:rFonts w:ascii="仿宋_GB2312" w:hAnsi="仿宋_GB2312" w:cs="仿宋_GB2312" w:eastAsia="仿宋_GB2312"/>
                <w:sz w:val="24"/>
              </w:rPr>
              <w:t>东区管护范围</w:t>
            </w:r>
            <w:r>
              <w:rPr>
                <w:rFonts w:ascii="仿宋_GB2312" w:hAnsi="仿宋_GB2312" w:cs="仿宋_GB2312" w:eastAsia="仿宋_GB2312"/>
                <w:sz w:val="24"/>
              </w:rPr>
              <w:t>：</w:t>
            </w:r>
            <w:r>
              <w:rPr>
                <w:rFonts w:ascii="仿宋_GB2312" w:hAnsi="仿宋_GB2312" w:cs="仿宋_GB2312" w:eastAsia="仿宋_GB2312"/>
                <w:sz w:val="24"/>
              </w:rPr>
              <w:t>南至北环路，北至五陵路，西至太和村进村路，东至东城大道。管护面积为</w:t>
            </w:r>
            <w:r>
              <w:rPr>
                <w:rFonts w:ascii="仿宋_GB2312" w:hAnsi="仿宋_GB2312" w:cs="仿宋_GB2312" w:eastAsia="仿宋_GB2312"/>
                <w:sz w:val="24"/>
              </w:rPr>
              <w:t>3298</w:t>
            </w:r>
            <w:r>
              <w:rPr>
                <w:rFonts w:ascii="仿宋_GB2312" w:hAnsi="仿宋_GB2312" w:cs="仿宋_GB2312" w:eastAsia="仿宋_GB2312"/>
                <w:sz w:val="24"/>
              </w:rPr>
              <w:t>.</w:t>
            </w:r>
            <w:r>
              <w:rPr>
                <w:rFonts w:ascii="仿宋_GB2312" w:hAnsi="仿宋_GB2312" w:cs="仿宋_GB2312" w:eastAsia="仿宋_GB2312"/>
                <w:sz w:val="24"/>
              </w:rPr>
              <w:t>3亩，林地面积</w:t>
            </w:r>
            <w:r>
              <w:rPr>
                <w:rFonts w:ascii="仿宋_GB2312" w:hAnsi="仿宋_GB2312" w:cs="仿宋_GB2312" w:eastAsia="仿宋_GB2312"/>
                <w:sz w:val="24"/>
              </w:rPr>
              <w:t>2104.6</w:t>
            </w:r>
            <w:r>
              <w:rPr>
                <w:rFonts w:ascii="仿宋_GB2312" w:hAnsi="仿宋_GB2312" w:cs="仿宋_GB2312" w:eastAsia="仿宋_GB2312"/>
                <w:sz w:val="24"/>
              </w:rPr>
              <w:t>亩，</w:t>
            </w:r>
            <w:r>
              <w:rPr>
                <w:rFonts w:ascii="仿宋_GB2312" w:hAnsi="仿宋_GB2312" w:cs="仿宋_GB2312" w:eastAsia="仿宋_GB2312"/>
                <w:sz w:val="24"/>
              </w:rPr>
              <w:t>(</w:t>
            </w:r>
            <w:r>
              <w:rPr>
                <w:rFonts w:ascii="仿宋_GB2312" w:hAnsi="仿宋_GB2312" w:cs="仿宋_GB2312" w:eastAsia="仿宋_GB2312"/>
                <w:sz w:val="24"/>
              </w:rPr>
              <w:t>含</w:t>
            </w:r>
            <w:r>
              <w:rPr>
                <w:rFonts w:ascii="仿宋_GB2312" w:hAnsi="仿宋_GB2312" w:cs="仿宋_GB2312" w:eastAsia="仿宋_GB2312"/>
                <w:sz w:val="24"/>
              </w:rPr>
              <w:t>绿植面积为</w:t>
            </w:r>
            <w:r>
              <w:rPr>
                <w:rFonts w:ascii="仿宋_GB2312" w:hAnsi="仿宋_GB2312" w:cs="仿宋_GB2312" w:eastAsia="仿宋_GB2312"/>
                <w:sz w:val="24"/>
              </w:rPr>
              <w:t>121亩)，道路8.4公里</w:t>
            </w:r>
            <w:r>
              <w:rPr>
                <w:rFonts w:ascii="仿宋_GB2312" w:hAnsi="仿宋_GB2312" w:cs="仿宋_GB2312" w:eastAsia="仿宋_GB2312"/>
                <w:sz w:val="24"/>
              </w:rPr>
              <w:t>；</w:t>
            </w:r>
            <w:r>
              <w:rPr>
                <w:rFonts w:ascii="仿宋_GB2312" w:hAnsi="仿宋_GB2312" w:cs="仿宋_GB2312" w:eastAsia="仿宋_GB2312"/>
                <w:sz w:val="24"/>
              </w:rPr>
              <w:t>负责管护房</w:t>
            </w:r>
            <w:r>
              <w:rPr>
                <w:rFonts w:ascii="仿宋_GB2312" w:hAnsi="仿宋_GB2312" w:cs="仿宋_GB2312" w:eastAsia="仿宋_GB2312"/>
                <w:sz w:val="24"/>
              </w:rPr>
              <w:t>3个、成品厕所</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休闲坐凳和垃圾桶</w:t>
            </w:r>
            <w:r>
              <w:rPr>
                <w:rFonts w:ascii="仿宋_GB2312" w:hAnsi="仿宋_GB2312" w:cs="仿宋_GB2312" w:eastAsia="仿宋_GB2312"/>
                <w:sz w:val="24"/>
              </w:rPr>
              <w:t>70套</w:t>
            </w:r>
            <w:r>
              <w:rPr>
                <w:rFonts w:ascii="仿宋_GB2312" w:hAnsi="仿宋_GB2312" w:cs="仿宋_GB2312" w:eastAsia="仿宋_GB2312"/>
                <w:sz w:val="24"/>
              </w:rPr>
              <w:t>、</w:t>
            </w:r>
            <w:r>
              <w:rPr>
                <w:rFonts w:ascii="仿宋_GB2312" w:hAnsi="仿宋_GB2312" w:cs="仿宋_GB2312" w:eastAsia="仿宋_GB2312"/>
                <w:sz w:val="24"/>
              </w:rPr>
              <w:t>太阳能路灯</w:t>
            </w:r>
            <w:r>
              <w:rPr>
                <w:rFonts w:ascii="仿宋_GB2312" w:hAnsi="仿宋_GB2312" w:cs="仿宋_GB2312" w:eastAsia="仿宋_GB2312"/>
                <w:sz w:val="24"/>
              </w:rPr>
              <w:t>282盏</w:t>
            </w:r>
            <w:r>
              <w:rPr>
                <w:rFonts w:ascii="仿宋_GB2312" w:hAnsi="仿宋_GB2312" w:cs="仿宋_GB2312" w:eastAsia="仿宋_GB2312"/>
                <w:sz w:val="24"/>
              </w:rPr>
              <w:t>、</w:t>
            </w:r>
            <w:r>
              <w:rPr>
                <w:rFonts w:ascii="仿宋_GB2312" w:hAnsi="仿宋_GB2312" w:cs="仿宋_GB2312" w:eastAsia="仿宋_GB2312"/>
                <w:sz w:val="24"/>
              </w:rPr>
              <w:t>菜地水龙头及水表</w:t>
            </w:r>
            <w:r>
              <w:rPr>
                <w:rFonts w:ascii="仿宋_GB2312" w:hAnsi="仿宋_GB2312" w:cs="仿宋_GB2312" w:eastAsia="仿宋_GB2312"/>
                <w:sz w:val="24"/>
              </w:rPr>
              <w:t>220套</w:t>
            </w:r>
            <w:r>
              <w:rPr>
                <w:rFonts w:ascii="仿宋_GB2312" w:hAnsi="仿宋_GB2312" w:cs="仿宋_GB2312" w:eastAsia="仿宋_GB2312"/>
                <w:sz w:val="24"/>
              </w:rPr>
              <w:t>、录像设备</w:t>
            </w:r>
            <w:r>
              <w:rPr>
                <w:rFonts w:ascii="仿宋_GB2312" w:hAnsi="仿宋_GB2312" w:cs="仿宋_GB2312" w:eastAsia="仿宋_GB2312"/>
                <w:sz w:val="24"/>
              </w:rPr>
              <w:t>1套</w:t>
            </w:r>
            <w:r>
              <w:rPr>
                <w:rFonts w:ascii="仿宋_GB2312" w:hAnsi="仿宋_GB2312" w:cs="仿宋_GB2312" w:eastAsia="仿宋_GB2312"/>
                <w:sz w:val="24"/>
              </w:rPr>
              <w:t>、机井</w:t>
            </w:r>
            <w:r>
              <w:rPr>
                <w:rFonts w:ascii="仿宋_GB2312" w:hAnsi="仿宋_GB2312" w:cs="仿宋_GB2312" w:eastAsia="仿宋_GB2312"/>
                <w:sz w:val="24"/>
              </w:rPr>
              <w:t>水泵</w:t>
            </w:r>
            <w:r>
              <w:rPr>
                <w:rFonts w:ascii="仿宋_GB2312" w:hAnsi="仿宋_GB2312" w:cs="仿宋_GB2312" w:eastAsia="仿宋_GB2312"/>
                <w:sz w:val="24"/>
              </w:rPr>
              <w:t>1套、60KV变压器1套</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三、主要养护管理内容</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树木修剪养护。</w:t>
            </w:r>
          </w:p>
          <w:p>
            <w:pPr>
              <w:pStyle w:val="null3"/>
              <w:ind w:firstLine="480"/>
              <w:jc w:val="both"/>
            </w:pPr>
            <w:r>
              <w:rPr>
                <w:rFonts w:ascii="仿宋_GB2312" w:hAnsi="仿宋_GB2312" w:cs="仿宋_GB2312" w:eastAsia="仿宋_GB2312"/>
                <w:sz w:val="24"/>
              </w:rPr>
              <w:t>依据</w:t>
            </w:r>
            <w:r>
              <w:rPr>
                <w:rFonts w:ascii="仿宋_GB2312" w:hAnsi="仿宋_GB2312" w:cs="仿宋_GB2312" w:eastAsia="仿宋_GB2312"/>
                <w:sz w:val="24"/>
              </w:rPr>
              <w:t>“因树修剪、随枝作形、平衡树势、促进生长”的原则，在林木休眠期(晚秋至早春)，对枯死枝、病虫枝、衰弱枝、过密交叉枝、下垂妨碍枝等进行养护修剪</w:t>
            </w:r>
            <w:r>
              <w:rPr>
                <w:rFonts w:ascii="仿宋_GB2312" w:hAnsi="仿宋_GB2312" w:cs="仿宋_GB2312" w:eastAsia="仿宋_GB2312"/>
                <w:sz w:val="24"/>
              </w:rPr>
              <w:t>，</w:t>
            </w:r>
            <w:r>
              <w:rPr>
                <w:rFonts w:ascii="仿宋_GB2312" w:hAnsi="仿宋_GB2312" w:cs="仿宋_GB2312" w:eastAsia="仿宋_GB2312"/>
                <w:sz w:val="24"/>
              </w:rPr>
              <w:t>对景观要求较高的路段或节点林木进行适度整形，对靠近电力线路、交通标志、建筑物等的林木枝条及时清理，科学合理浇水养护，水肥</w:t>
            </w:r>
            <w:r>
              <w:rPr>
                <w:rFonts w:ascii="仿宋_GB2312" w:hAnsi="仿宋_GB2312" w:cs="仿宋_GB2312" w:eastAsia="仿宋_GB2312"/>
                <w:sz w:val="24"/>
              </w:rPr>
              <w:t>“浇透”有效，优化林分结构，保持林木健康形态，保证树木生长良好</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森林防火管理。</w:t>
            </w:r>
          </w:p>
          <w:p>
            <w:pPr>
              <w:pStyle w:val="null3"/>
              <w:ind w:firstLine="480"/>
              <w:jc w:val="both"/>
            </w:pPr>
            <w:r>
              <w:rPr>
                <w:rFonts w:ascii="仿宋_GB2312" w:hAnsi="仿宋_GB2312" w:cs="仿宋_GB2312" w:eastAsia="仿宋_GB2312"/>
                <w:sz w:val="24"/>
              </w:rPr>
              <w:t>加强城北防护</w:t>
            </w:r>
            <w:r>
              <w:rPr>
                <w:rFonts w:ascii="仿宋_GB2312" w:hAnsi="仿宋_GB2312" w:cs="仿宋_GB2312" w:eastAsia="仿宋_GB2312"/>
                <w:sz w:val="24"/>
              </w:rPr>
              <w:t>(康养)林及周边巡逻</w:t>
            </w:r>
            <w:r>
              <w:rPr>
                <w:rFonts w:ascii="仿宋_GB2312" w:hAnsi="仿宋_GB2312" w:cs="仿宋_GB2312" w:eastAsia="仿宋_GB2312"/>
                <w:sz w:val="24"/>
              </w:rPr>
              <w:t>，</w:t>
            </w:r>
            <w:r>
              <w:rPr>
                <w:rFonts w:ascii="仿宋_GB2312" w:hAnsi="仿宋_GB2312" w:cs="仿宋_GB2312" w:eastAsia="仿宋_GB2312"/>
                <w:sz w:val="24"/>
              </w:rPr>
              <w:t>防火期</w:t>
            </w:r>
            <w:r>
              <w:rPr>
                <w:rFonts w:ascii="仿宋_GB2312" w:hAnsi="仿宋_GB2312" w:cs="仿宋_GB2312" w:eastAsia="仿宋_GB2312"/>
                <w:sz w:val="24"/>
              </w:rPr>
              <w:t>(10月1日--次年4月30日)严禁携带火种进入林区</w:t>
            </w:r>
            <w:r>
              <w:rPr>
                <w:rFonts w:ascii="仿宋_GB2312" w:hAnsi="仿宋_GB2312" w:cs="仿宋_GB2312" w:eastAsia="仿宋_GB2312"/>
                <w:sz w:val="24"/>
              </w:rPr>
              <w:t>，</w:t>
            </w:r>
            <w:r>
              <w:rPr>
                <w:rFonts w:ascii="仿宋_GB2312" w:hAnsi="仿宋_GB2312" w:cs="仿宋_GB2312" w:eastAsia="仿宋_GB2312"/>
                <w:sz w:val="24"/>
              </w:rPr>
              <w:t>严禁在林内及边缘地带吸烟、野炊、烧荒、燃放烟花爆竹等一切</w:t>
            </w:r>
            <w:r>
              <w:rPr>
                <w:rFonts w:ascii="仿宋_GB2312" w:hAnsi="仿宋_GB2312" w:cs="仿宋_GB2312" w:eastAsia="仿宋_GB2312"/>
                <w:sz w:val="24"/>
              </w:rPr>
              <w:t>野外用火行为。及时清理林下、林缘、防火隔离带内的枯枝落叶、杂草等可燃物。加强与周边村组的联防联控，宣传防火知识，提高公众防火意识。完善森林火灾应急预案，确保防火物资充足有效。</w:t>
            </w:r>
          </w:p>
          <w:p>
            <w:pPr>
              <w:pStyle w:val="null3"/>
              <w:ind w:firstLine="482"/>
              <w:jc w:val="both"/>
            </w:pPr>
            <w:r>
              <w:rPr>
                <w:rFonts w:ascii="仿宋_GB2312" w:hAnsi="仿宋_GB2312" w:cs="仿宋_GB2312" w:eastAsia="仿宋_GB2312"/>
                <w:sz w:val="24"/>
                <w:b/>
              </w:rPr>
              <w:t>3.基础设施维护与管理。</w:t>
            </w:r>
          </w:p>
          <w:p>
            <w:pPr>
              <w:pStyle w:val="null3"/>
              <w:ind w:firstLine="480"/>
              <w:jc w:val="both"/>
            </w:pPr>
            <w:r>
              <w:rPr>
                <w:rFonts w:ascii="仿宋_GB2312" w:hAnsi="仿宋_GB2312" w:cs="仿宋_GB2312" w:eastAsia="仿宋_GB2312"/>
                <w:sz w:val="24"/>
              </w:rPr>
              <w:t>保持林内巡护道路、防火通道的畅通。定期对道路两侧的杂草、灌木进行清理。对防护</w:t>
            </w:r>
            <w:r>
              <w:rPr>
                <w:rFonts w:ascii="仿宋_GB2312" w:hAnsi="仿宋_GB2312" w:cs="仿宋_GB2312" w:eastAsia="仿宋_GB2312"/>
                <w:sz w:val="24"/>
              </w:rPr>
              <w:t>(康养)林内的宣传牌、警示牌、果桩、围栏、监控杆塔等设施进行定期巡检、加固。对供配电、供水设施进行安全检查，防止漏电、漏水安全隐患。</w:t>
            </w:r>
          </w:p>
          <w:p>
            <w:pPr>
              <w:pStyle w:val="null3"/>
              <w:ind w:firstLine="482"/>
              <w:jc w:val="both"/>
            </w:pPr>
            <w:r>
              <w:rPr>
                <w:rFonts w:ascii="仿宋_GB2312" w:hAnsi="仿宋_GB2312" w:cs="仿宋_GB2312" w:eastAsia="仿宋_GB2312"/>
                <w:sz w:val="24"/>
                <w:b/>
              </w:rPr>
              <w:t>4.病虫害防治和野生动植物保护。</w:t>
            </w:r>
          </w:p>
          <w:p>
            <w:pPr>
              <w:pStyle w:val="null3"/>
              <w:ind w:firstLine="480"/>
              <w:jc w:val="both"/>
            </w:pPr>
            <w:r>
              <w:rPr>
                <w:rFonts w:ascii="仿宋_GB2312" w:hAnsi="仿宋_GB2312" w:cs="仿宋_GB2312" w:eastAsia="仿宋_GB2312"/>
                <w:sz w:val="24"/>
              </w:rPr>
              <w:t>贯彻</w:t>
            </w:r>
            <w:r>
              <w:rPr>
                <w:rFonts w:ascii="仿宋_GB2312" w:hAnsi="仿宋_GB2312" w:cs="仿宋_GB2312" w:eastAsia="仿宋_GB2312"/>
                <w:sz w:val="24"/>
              </w:rPr>
              <w:t>“预防为主，综合治理”的方针，加强病虫害监测，定期开展防寒、防虫刷白作业，科学安全使用药物防治，保护生态环境和人畜安全。保护林内野生动植物，维护生物多样性，发现破坏林木和猎捕野生动物行为及时制止和报告主管单位。</w:t>
            </w:r>
          </w:p>
          <w:p>
            <w:pPr>
              <w:pStyle w:val="null3"/>
              <w:ind w:firstLine="482"/>
              <w:jc w:val="both"/>
            </w:pPr>
            <w:r>
              <w:rPr>
                <w:rFonts w:ascii="仿宋_GB2312" w:hAnsi="仿宋_GB2312" w:cs="仿宋_GB2312" w:eastAsia="仿宋_GB2312"/>
                <w:sz w:val="24"/>
                <w:b/>
              </w:rPr>
              <w:t>5.环境卫生保洁。</w:t>
            </w:r>
          </w:p>
          <w:p>
            <w:pPr>
              <w:pStyle w:val="null3"/>
              <w:ind w:firstLine="480"/>
              <w:jc w:val="both"/>
            </w:pPr>
            <w:r>
              <w:rPr>
                <w:rFonts w:ascii="仿宋_GB2312" w:hAnsi="仿宋_GB2312" w:cs="仿宋_GB2312" w:eastAsia="仿宋_GB2312"/>
                <w:sz w:val="24"/>
              </w:rPr>
              <w:t>定期清除城北防护</w:t>
            </w:r>
            <w:r>
              <w:rPr>
                <w:rFonts w:ascii="仿宋_GB2312" w:hAnsi="仿宋_GB2312" w:cs="仿宋_GB2312" w:eastAsia="仿宋_GB2312"/>
                <w:sz w:val="24"/>
              </w:rPr>
              <w:t>(康养)林内道路及两侧、固定垃圾桶、市民健身娱乐区的生活垃圾，对垃圾堆到重点区域进行定期巡查监督，及时清运林内垃圾、废弃物，保持林区环境卫生整洁舒适。</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、有关要求</w:t>
            </w:r>
          </w:p>
          <w:p>
            <w:pPr>
              <w:pStyle w:val="null3"/>
              <w:ind w:firstLine="482"/>
              <w:jc w:val="both"/>
            </w:pPr>
            <w:r>
              <w:rPr>
                <w:rFonts w:ascii="仿宋_GB2312" w:hAnsi="仿宋_GB2312" w:cs="仿宋_GB2312" w:eastAsia="仿宋_GB2312"/>
                <w:sz w:val="24"/>
                <w:b/>
              </w:rPr>
              <w:t>1.明确责任主体:</w:t>
            </w:r>
            <w:r>
              <w:rPr>
                <w:rFonts w:ascii="仿宋_GB2312" w:hAnsi="仿宋_GB2312" w:cs="仿宋_GB2312" w:eastAsia="仿宋_GB2312"/>
                <w:sz w:val="24"/>
              </w:rPr>
              <w:t>东、西两区管护单位需严格对照本方案划定的范围与内容，细化管护清单，落实专人专责，确保管护工作无死角、无遗漏。</w:t>
            </w:r>
          </w:p>
          <w:p>
            <w:pPr>
              <w:pStyle w:val="null3"/>
              <w:ind w:firstLine="482"/>
              <w:jc w:val="both"/>
            </w:pPr>
            <w:r>
              <w:rPr>
                <w:rFonts w:ascii="仿宋_GB2312" w:hAnsi="仿宋_GB2312" w:cs="仿宋_GB2312" w:eastAsia="仿宋_GB2312"/>
                <w:sz w:val="24"/>
                <w:b/>
              </w:rPr>
              <w:t>2.规范管护流程:</w:t>
            </w:r>
            <w:r>
              <w:rPr>
                <w:rFonts w:ascii="仿宋_GB2312" w:hAnsi="仿宋_GB2312" w:cs="仿宋_GB2312" w:eastAsia="仿宋_GB2312"/>
                <w:sz w:val="24"/>
              </w:rPr>
              <w:t>建立常态化巡查机制，对林地植被生长、设施设备运行等情况定期检查，发现问题及时上报并处置，做好巡查记录存档。</w:t>
            </w:r>
          </w:p>
          <w:p>
            <w:pPr>
              <w:pStyle w:val="null3"/>
              <w:ind w:firstLine="482"/>
              <w:jc w:val="both"/>
            </w:pPr>
            <w:r>
              <w:rPr>
                <w:rFonts w:ascii="仿宋_GB2312" w:hAnsi="仿宋_GB2312" w:cs="仿宋_GB2312" w:eastAsia="仿宋_GB2312"/>
                <w:sz w:val="24"/>
                <w:b/>
              </w:rPr>
              <w:t>3.强化协同配合:</w:t>
            </w:r>
            <w:r>
              <w:rPr>
                <w:rFonts w:ascii="仿宋_GB2312" w:hAnsi="仿宋_GB2312" w:cs="仿宋_GB2312" w:eastAsia="仿宋_GB2312"/>
                <w:sz w:val="24"/>
              </w:rPr>
              <w:t>两区管护单位要加强沟通协作，针对跨区域的管护事项建立联动机制，共同保障城北防护</w:t>
            </w:r>
            <w:r>
              <w:rPr>
                <w:rFonts w:ascii="仿宋_GB2312" w:hAnsi="仿宋_GB2312" w:cs="仿宋_GB2312" w:eastAsia="仿宋_GB2312"/>
                <w:sz w:val="24"/>
              </w:rPr>
              <w:t>(康养)林管护工作高效推进。</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标的名称：蒲城县城北防护（康养）林养护管理项目（西区）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蒲城县防护林南至北环路，北至五陵路，西至蒲白运煤专线，东至东城大道。涉及尧山镇、奉先街道、紫荆街道</w:t>
            </w:r>
            <w:r>
              <w:rPr>
                <w:rFonts w:ascii="仿宋_GB2312" w:hAnsi="仿宋_GB2312" w:cs="仿宋_GB2312" w:eastAsia="仿宋_GB2312"/>
                <w:sz w:val="24"/>
              </w:rPr>
              <w:t>3个镇(街道)，9个行政村，总面积约8502亩。其中林地4320.8亩，园地、道路、管护房、广场、停车场等共计2305.9亩，管护面积共计6626.7亩。</w:t>
            </w:r>
          </w:p>
          <w:p>
            <w:pPr>
              <w:pStyle w:val="null3"/>
              <w:ind w:firstLine="482"/>
              <w:jc w:val="both"/>
            </w:pPr>
            <w:r>
              <w:rPr>
                <w:rFonts w:ascii="仿宋_GB2312" w:hAnsi="仿宋_GB2312" w:cs="仿宋_GB2312" w:eastAsia="仿宋_GB2312"/>
                <w:sz w:val="24"/>
                <w:b/>
              </w:rPr>
              <w:t>一、管护内容概况</w:t>
            </w:r>
          </w:p>
          <w:p>
            <w:pPr>
              <w:pStyle w:val="null3"/>
              <w:ind w:firstLine="480"/>
              <w:jc w:val="both"/>
            </w:pPr>
            <w:r>
              <w:rPr>
                <w:rFonts w:ascii="仿宋_GB2312" w:hAnsi="仿宋_GB2312" w:cs="仿宋_GB2312" w:eastAsia="仿宋_GB2312"/>
                <w:sz w:val="24"/>
              </w:rPr>
              <w:t>本项目管护范围涵盖林地与各类配套设施，具体如下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1.林地管护</w:t>
            </w:r>
            <w:r>
              <w:rPr>
                <w:rFonts w:ascii="仿宋_GB2312" w:hAnsi="仿宋_GB2312" w:cs="仿宋_GB2312" w:eastAsia="仿宋_GB2312"/>
                <w:sz w:val="24"/>
                <w:b/>
              </w:rPr>
              <w:t>：</w:t>
            </w:r>
            <w:r>
              <w:rPr>
                <w:rFonts w:ascii="仿宋_GB2312" w:hAnsi="仿宋_GB2312" w:cs="仿宋_GB2312" w:eastAsia="仿宋_GB2312"/>
                <w:sz w:val="24"/>
              </w:rPr>
              <w:t>总面积</w:t>
            </w:r>
            <w:r>
              <w:rPr>
                <w:rFonts w:ascii="仿宋_GB2312" w:hAnsi="仿宋_GB2312" w:cs="仿宋_GB2312" w:eastAsia="仿宋_GB2312"/>
                <w:sz w:val="24"/>
              </w:rPr>
              <w:t>4320.8亩,分为东区2104.6亩(绿植面积为121亩)、西区2216.2亩(绿植面积为66亩)。</w:t>
            </w:r>
          </w:p>
          <w:p>
            <w:pPr>
              <w:pStyle w:val="null3"/>
              <w:ind w:firstLine="482"/>
              <w:jc w:val="both"/>
            </w:pPr>
            <w:r>
              <w:rPr>
                <w:rFonts w:ascii="仿宋_GB2312" w:hAnsi="仿宋_GB2312" w:cs="仿宋_GB2312" w:eastAsia="仿宋_GB2312"/>
                <w:sz w:val="24"/>
                <w:b/>
              </w:rPr>
              <w:t>2.基础设施管护</w:t>
            </w:r>
            <w:r>
              <w:rPr>
                <w:rFonts w:ascii="仿宋_GB2312" w:hAnsi="仿宋_GB2312" w:cs="仿宋_GB2312" w:eastAsia="仿宋_GB2312"/>
                <w:sz w:val="24"/>
                <w:b/>
              </w:rPr>
              <w:t>：</w:t>
            </w:r>
            <w:r>
              <w:rPr>
                <w:rFonts w:ascii="仿宋_GB2312" w:hAnsi="仿宋_GB2312" w:cs="仿宋_GB2312" w:eastAsia="仿宋_GB2312"/>
                <w:sz w:val="24"/>
              </w:rPr>
              <w:t>道路</w:t>
            </w:r>
            <w:r>
              <w:rPr>
                <w:rFonts w:ascii="仿宋_GB2312" w:hAnsi="仿宋_GB2312" w:cs="仿宋_GB2312" w:eastAsia="仿宋_GB2312"/>
                <w:sz w:val="24"/>
              </w:rPr>
              <w:t>13.8公里，茅草亭子2个，成品管理房5个，成品厕所7个，新建管护房3个，新建厕所1个，休闲坐凳和垃圾桶120套。</w:t>
            </w:r>
          </w:p>
          <w:p>
            <w:pPr>
              <w:pStyle w:val="null3"/>
              <w:ind w:firstLine="482"/>
              <w:jc w:val="both"/>
            </w:pPr>
            <w:r>
              <w:rPr>
                <w:rFonts w:ascii="仿宋_GB2312" w:hAnsi="仿宋_GB2312" w:cs="仿宋_GB2312" w:eastAsia="仿宋_GB2312"/>
                <w:sz w:val="24"/>
                <w:b/>
              </w:rPr>
              <w:t>3.设备设施管护</w:t>
            </w:r>
            <w:r>
              <w:rPr>
                <w:rFonts w:ascii="仿宋_GB2312" w:hAnsi="仿宋_GB2312" w:cs="仿宋_GB2312" w:eastAsia="仿宋_GB2312"/>
                <w:sz w:val="24"/>
                <w:b/>
              </w:rPr>
              <w:t>：</w:t>
            </w:r>
            <w:r>
              <w:rPr>
                <w:rFonts w:ascii="仿宋_GB2312" w:hAnsi="仿宋_GB2312" w:cs="仿宋_GB2312" w:eastAsia="仿宋_GB2312"/>
                <w:sz w:val="24"/>
              </w:rPr>
              <w:t>10米太阳能路灯347盏、5米太阳能路灯59盏</w:t>
            </w:r>
            <w:r>
              <w:rPr>
                <w:rFonts w:ascii="仿宋_GB2312" w:hAnsi="仿宋_GB2312" w:cs="仿宋_GB2312" w:eastAsia="仿宋_GB2312"/>
                <w:sz w:val="24"/>
              </w:rPr>
              <w:t>；</w:t>
            </w:r>
            <w:r>
              <w:rPr>
                <w:rFonts w:ascii="仿宋_GB2312" w:hAnsi="仿宋_GB2312" w:cs="仿宋_GB2312" w:eastAsia="仿宋_GB2312"/>
                <w:sz w:val="24"/>
              </w:rPr>
              <w:t>菜地水龙头及水表</w:t>
            </w:r>
            <w:r>
              <w:rPr>
                <w:rFonts w:ascii="仿宋_GB2312" w:hAnsi="仿宋_GB2312" w:cs="仿宋_GB2312" w:eastAsia="仿宋_GB2312"/>
                <w:sz w:val="24"/>
              </w:rPr>
              <w:t>220套</w:t>
            </w:r>
            <w:r>
              <w:rPr>
                <w:rFonts w:ascii="仿宋_GB2312" w:hAnsi="仿宋_GB2312" w:cs="仿宋_GB2312" w:eastAsia="仿宋_GB2312"/>
                <w:sz w:val="24"/>
              </w:rPr>
              <w:t>；录像设备</w:t>
            </w:r>
            <w:r>
              <w:rPr>
                <w:rFonts w:ascii="仿宋_GB2312" w:hAnsi="仿宋_GB2312" w:cs="仿宋_GB2312" w:eastAsia="仿宋_GB2312"/>
                <w:sz w:val="24"/>
              </w:rPr>
              <w:t>1套</w:t>
            </w:r>
            <w:r>
              <w:rPr>
                <w:rFonts w:ascii="仿宋_GB2312" w:hAnsi="仿宋_GB2312" w:cs="仿宋_GB2312" w:eastAsia="仿宋_GB2312"/>
                <w:sz w:val="24"/>
              </w:rPr>
              <w:t>、机井</w:t>
            </w:r>
            <w:r>
              <w:rPr>
                <w:rFonts w:ascii="仿宋_GB2312" w:hAnsi="仿宋_GB2312" w:cs="仿宋_GB2312" w:eastAsia="仿宋_GB2312"/>
                <w:sz w:val="24"/>
              </w:rPr>
              <w:t>水泵</w:t>
            </w:r>
            <w:r>
              <w:rPr>
                <w:rFonts w:ascii="仿宋_GB2312" w:hAnsi="仿宋_GB2312" w:cs="仿宋_GB2312" w:eastAsia="仿宋_GB2312"/>
                <w:sz w:val="24"/>
              </w:rPr>
              <w:t>1套、60KV变压器1套</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二、区域划分及管护职责</w:t>
            </w:r>
          </w:p>
          <w:p>
            <w:pPr>
              <w:pStyle w:val="null3"/>
              <w:ind w:firstLine="480"/>
              <w:jc w:val="both"/>
            </w:pPr>
            <w:r>
              <w:rPr>
                <w:rFonts w:ascii="仿宋_GB2312" w:hAnsi="仿宋_GB2312" w:cs="仿宋_GB2312" w:eastAsia="仿宋_GB2312"/>
                <w:sz w:val="24"/>
              </w:rPr>
              <w:t>以太和村进村路为界限，划分东、西两个管护区域，具体职责如下</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1.西区管护范围</w:t>
            </w:r>
          </w:p>
          <w:p>
            <w:pPr>
              <w:pStyle w:val="null3"/>
              <w:ind w:firstLine="480"/>
              <w:jc w:val="both"/>
            </w:pPr>
            <w:r>
              <w:rPr>
                <w:rFonts w:ascii="仿宋_GB2312" w:hAnsi="仿宋_GB2312" w:cs="仿宋_GB2312" w:eastAsia="仿宋_GB2312"/>
                <w:sz w:val="24"/>
              </w:rPr>
              <w:t>西区管护范围</w:t>
            </w:r>
            <w:r>
              <w:rPr>
                <w:rFonts w:ascii="仿宋_GB2312" w:hAnsi="仿宋_GB2312" w:cs="仿宋_GB2312" w:eastAsia="仿宋_GB2312"/>
                <w:sz w:val="24"/>
              </w:rPr>
              <w:t>：</w:t>
            </w:r>
            <w:r>
              <w:rPr>
                <w:rFonts w:ascii="仿宋_GB2312" w:hAnsi="仿宋_GB2312" w:cs="仿宋_GB2312" w:eastAsia="仿宋_GB2312"/>
                <w:sz w:val="24"/>
              </w:rPr>
              <w:t>南至北环路，北至五陵路，西至蒲白运煤专线，东至太和村进村路。管护面积</w:t>
            </w:r>
            <w:r>
              <w:rPr>
                <w:rFonts w:ascii="仿宋_GB2312" w:hAnsi="仿宋_GB2312" w:cs="仿宋_GB2312" w:eastAsia="仿宋_GB2312"/>
                <w:sz w:val="24"/>
              </w:rPr>
              <w:t>为</w:t>
            </w:r>
            <w:r>
              <w:rPr>
                <w:rFonts w:ascii="仿宋_GB2312" w:hAnsi="仿宋_GB2312" w:cs="仿宋_GB2312" w:eastAsia="仿宋_GB2312"/>
                <w:sz w:val="24"/>
              </w:rPr>
              <w:t>3328.4亩，林地面积</w:t>
            </w:r>
            <w:r>
              <w:rPr>
                <w:rFonts w:ascii="仿宋_GB2312" w:hAnsi="仿宋_GB2312" w:cs="仿宋_GB2312" w:eastAsia="仿宋_GB2312"/>
                <w:sz w:val="24"/>
              </w:rPr>
              <w:t>2216.2</w:t>
            </w:r>
            <w:r>
              <w:rPr>
                <w:rFonts w:ascii="仿宋_GB2312" w:hAnsi="仿宋_GB2312" w:cs="仿宋_GB2312" w:eastAsia="仿宋_GB2312"/>
                <w:sz w:val="24"/>
              </w:rPr>
              <w:t>亩</w:t>
            </w:r>
            <w:r>
              <w:rPr>
                <w:rFonts w:ascii="仿宋_GB2312" w:hAnsi="仿宋_GB2312" w:cs="仿宋_GB2312" w:eastAsia="仿宋_GB2312"/>
                <w:sz w:val="24"/>
              </w:rPr>
              <w:t>(含绿植面积</w:t>
            </w:r>
            <w:r>
              <w:rPr>
                <w:rFonts w:ascii="仿宋_GB2312" w:hAnsi="仿宋_GB2312" w:cs="仿宋_GB2312" w:eastAsia="仿宋_GB2312"/>
                <w:sz w:val="24"/>
              </w:rPr>
              <w:t>66</w:t>
            </w:r>
            <w:r>
              <w:rPr>
                <w:rFonts w:ascii="仿宋_GB2312" w:hAnsi="仿宋_GB2312" w:cs="仿宋_GB2312" w:eastAsia="仿宋_GB2312"/>
                <w:sz w:val="24"/>
              </w:rPr>
              <w:t>亩</w:t>
            </w:r>
            <w:r>
              <w:rPr>
                <w:rFonts w:ascii="仿宋_GB2312" w:hAnsi="仿宋_GB2312" w:cs="仿宋_GB2312" w:eastAsia="仿宋_GB2312"/>
                <w:sz w:val="24"/>
              </w:rPr>
              <w:t>)，</w:t>
            </w:r>
            <w:r>
              <w:rPr>
                <w:rFonts w:ascii="仿宋_GB2312" w:hAnsi="仿宋_GB2312" w:cs="仿宋_GB2312" w:eastAsia="仿宋_GB2312"/>
                <w:sz w:val="24"/>
              </w:rPr>
              <w:t>道路</w:t>
            </w:r>
            <w:r>
              <w:rPr>
                <w:rFonts w:ascii="仿宋_GB2312" w:hAnsi="仿宋_GB2312" w:cs="仿宋_GB2312" w:eastAsia="仿宋_GB2312"/>
                <w:sz w:val="24"/>
              </w:rPr>
              <w:t>5.4公里</w:t>
            </w:r>
            <w:r>
              <w:rPr>
                <w:rFonts w:ascii="仿宋_GB2312" w:hAnsi="仿宋_GB2312" w:cs="仿宋_GB2312" w:eastAsia="仿宋_GB2312"/>
                <w:sz w:val="24"/>
              </w:rPr>
              <w:t>；</w:t>
            </w:r>
            <w:r>
              <w:rPr>
                <w:rFonts w:ascii="仿宋_GB2312" w:hAnsi="仿宋_GB2312" w:cs="仿宋_GB2312" w:eastAsia="仿宋_GB2312"/>
                <w:sz w:val="24"/>
              </w:rPr>
              <w:t>负责成品管理房</w:t>
            </w:r>
            <w:r>
              <w:rPr>
                <w:rFonts w:ascii="仿宋_GB2312" w:hAnsi="仿宋_GB2312" w:cs="仿宋_GB2312" w:eastAsia="仿宋_GB2312"/>
                <w:sz w:val="24"/>
              </w:rPr>
              <w:t>5个、成品厕所</w:t>
            </w:r>
            <w:r>
              <w:rPr>
                <w:rFonts w:ascii="仿宋_GB2312" w:hAnsi="仿宋_GB2312" w:cs="仿宋_GB2312" w:eastAsia="仿宋_GB2312"/>
                <w:sz w:val="24"/>
              </w:rPr>
              <w:t>4</w:t>
            </w:r>
            <w:r>
              <w:rPr>
                <w:rFonts w:ascii="仿宋_GB2312" w:hAnsi="仿宋_GB2312" w:cs="仿宋_GB2312" w:eastAsia="仿宋_GB2312"/>
                <w:sz w:val="24"/>
              </w:rPr>
              <w:t>个、茅草亭子</w:t>
            </w:r>
            <w:r>
              <w:rPr>
                <w:rFonts w:ascii="仿宋_GB2312" w:hAnsi="仿宋_GB2312" w:cs="仿宋_GB2312" w:eastAsia="仿宋_GB2312"/>
                <w:sz w:val="24"/>
              </w:rPr>
              <w:t>2个，休闲坐凳和垃圾桶</w:t>
            </w:r>
            <w:r>
              <w:rPr>
                <w:rFonts w:ascii="仿宋_GB2312" w:hAnsi="仿宋_GB2312" w:cs="仿宋_GB2312" w:eastAsia="仿宋_GB2312"/>
                <w:sz w:val="24"/>
              </w:rPr>
              <w:t>50</w:t>
            </w:r>
            <w:r>
              <w:rPr>
                <w:rFonts w:ascii="仿宋_GB2312" w:hAnsi="仿宋_GB2312" w:cs="仿宋_GB2312" w:eastAsia="仿宋_GB2312"/>
                <w:sz w:val="24"/>
              </w:rPr>
              <w:t>套，太阳能路灯</w:t>
            </w:r>
            <w:r>
              <w:rPr>
                <w:rFonts w:ascii="仿宋_GB2312" w:hAnsi="仿宋_GB2312" w:cs="仿宋_GB2312" w:eastAsia="仿宋_GB2312"/>
                <w:sz w:val="24"/>
              </w:rPr>
              <w:t>124盏。</w:t>
            </w:r>
          </w:p>
          <w:p>
            <w:pPr>
              <w:pStyle w:val="null3"/>
              <w:ind w:firstLine="482"/>
              <w:jc w:val="both"/>
            </w:pPr>
            <w:r>
              <w:rPr>
                <w:rFonts w:ascii="仿宋_GB2312" w:hAnsi="仿宋_GB2312" w:cs="仿宋_GB2312" w:eastAsia="仿宋_GB2312"/>
                <w:sz w:val="24"/>
                <w:b/>
              </w:rPr>
              <w:t>三、主要养护管理内容</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树木修剪养护。</w:t>
            </w:r>
          </w:p>
          <w:p>
            <w:pPr>
              <w:pStyle w:val="null3"/>
              <w:ind w:firstLine="480"/>
              <w:jc w:val="both"/>
            </w:pPr>
            <w:r>
              <w:rPr>
                <w:rFonts w:ascii="仿宋_GB2312" w:hAnsi="仿宋_GB2312" w:cs="仿宋_GB2312" w:eastAsia="仿宋_GB2312"/>
                <w:sz w:val="24"/>
              </w:rPr>
              <w:t>依据</w:t>
            </w:r>
            <w:r>
              <w:rPr>
                <w:rFonts w:ascii="仿宋_GB2312" w:hAnsi="仿宋_GB2312" w:cs="仿宋_GB2312" w:eastAsia="仿宋_GB2312"/>
                <w:sz w:val="24"/>
              </w:rPr>
              <w:t>“因树修剪、随枝作形、平衡树势、促进生长”的原则，在林木休眠期(晚秋至早春)，对枯死枝、病虫枝、衰弱枝、过密交叉枝、下垂妨碍枝等进行养护修剪</w:t>
            </w:r>
            <w:r>
              <w:rPr>
                <w:rFonts w:ascii="仿宋_GB2312" w:hAnsi="仿宋_GB2312" w:cs="仿宋_GB2312" w:eastAsia="仿宋_GB2312"/>
                <w:sz w:val="24"/>
              </w:rPr>
              <w:t>，</w:t>
            </w:r>
            <w:r>
              <w:rPr>
                <w:rFonts w:ascii="仿宋_GB2312" w:hAnsi="仿宋_GB2312" w:cs="仿宋_GB2312" w:eastAsia="仿宋_GB2312"/>
                <w:sz w:val="24"/>
              </w:rPr>
              <w:t>对景观要求较高的路段或节点林木进行适度整形，对靠近电力线路、交通标志、建筑物等的林木枝条及时清理，科学合理浇水养护，水肥</w:t>
            </w:r>
            <w:r>
              <w:rPr>
                <w:rFonts w:ascii="仿宋_GB2312" w:hAnsi="仿宋_GB2312" w:cs="仿宋_GB2312" w:eastAsia="仿宋_GB2312"/>
                <w:sz w:val="24"/>
              </w:rPr>
              <w:t>“浇透”有效，优化林分结构，保持林木健康形态，保证树木生长良好</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森林防火管理。</w:t>
            </w:r>
          </w:p>
          <w:p>
            <w:pPr>
              <w:pStyle w:val="null3"/>
              <w:ind w:firstLine="480"/>
              <w:jc w:val="both"/>
            </w:pPr>
            <w:r>
              <w:rPr>
                <w:rFonts w:ascii="仿宋_GB2312" w:hAnsi="仿宋_GB2312" w:cs="仿宋_GB2312" w:eastAsia="仿宋_GB2312"/>
                <w:sz w:val="24"/>
              </w:rPr>
              <w:t>加强城北防护</w:t>
            </w:r>
            <w:r>
              <w:rPr>
                <w:rFonts w:ascii="仿宋_GB2312" w:hAnsi="仿宋_GB2312" w:cs="仿宋_GB2312" w:eastAsia="仿宋_GB2312"/>
                <w:sz w:val="24"/>
              </w:rPr>
              <w:t>(康养)林及周边巡逻</w:t>
            </w:r>
            <w:r>
              <w:rPr>
                <w:rFonts w:ascii="仿宋_GB2312" w:hAnsi="仿宋_GB2312" w:cs="仿宋_GB2312" w:eastAsia="仿宋_GB2312"/>
                <w:sz w:val="24"/>
              </w:rPr>
              <w:t>，</w:t>
            </w:r>
            <w:r>
              <w:rPr>
                <w:rFonts w:ascii="仿宋_GB2312" w:hAnsi="仿宋_GB2312" w:cs="仿宋_GB2312" w:eastAsia="仿宋_GB2312"/>
                <w:sz w:val="24"/>
              </w:rPr>
              <w:t>防火期</w:t>
            </w:r>
            <w:r>
              <w:rPr>
                <w:rFonts w:ascii="仿宋_GB2312" w:hAnsi="仿宋_GB2312" w:cs="仿宋_GB2312" w:eastAsia="仿宋_GB2312"/>
                <w:sz w:val="24"/>
              </w:rPr>
              <w:t>(10月1日--次年4月30日)严禁携带火种进入林区</w:t>
            </w:r>
            <w:r>
              <w:rPr>
                <w:rFonts w:ascii="仿宋_GB2312" w:hAnsi="仿宋_GB2312" w:cs="仿宋_GB2312" w:eastAsia="仿宋_GB2312"/>
                <w:sz w:val="24"/>
              </w:rPr>
              <w:t>，</w:t>
            </w:r>
            <w:r>
              <w:rPr>
                <w:rFonts w:ascii="仿宋_GB2312" w:hAnsi="仿宋_GB2312" w:cs="仿宋_GB2312" w:eastAsia="仿宋_GB2312"/>
                <w:sz w:val="24"/>
              </w:rPr>
              <w:t>严禁在林内及边缘地带吸烟、野炊、烧荒、燃放烟花爆竹等一切</w:t>
            </w:r>
            <w:r>
              <w:rPr>
                <w:rFonts w:ascii="仿宋_GB2312" w:hAnsi="仿宋_GB2312" w:cs="仿宋_GB2312" w:eastAsia="仿宋_GB2312"/>
                <w:sz w:val="24"/>
              </w:rPr>
              <w:t>野外用火行为。及时清理林下、林缘、防火隔离带内的枯枝落叶、杂草等可燃物。加强与周边村组的联防联控，宣传防火知识，提高公众防火意识。完善森林火灾应急预案，确保防火物资充足有效。</w:t>
            </w:r>
          </w:p>
          <w:p>
            <w:pPr>
              <w:pStyle w:val="null3"/>
              <w:ind w:firstLine="482"/>
              <w:jc w:val="both"/>
            </w:pPr>
            <w:r>
              <w:rPr>
                <w:rFonts w:ascii="仿宋_GB2312" w:hAnsi="仿宋_GB2312" w:cs="仿宋_GB2312" w:eastAsia="仿宋_GB2312"/>
                <w:sz w:val="24"/>
                <w:b/>
              </w:rPr>
              <w:t>3.基础设施维护与管理。</w:t>
            </w:r>
          </w:p>
          <w:p>
            <w:pPr>
              <w:pStyle w:val="null3"/>
              <w:ind w:firstLine="480"/>
              <w:jc w:val="both"/>
            </w:pPr>
            <w:r>
              <w:rPr>
                <w:rFonts w:ascii="仿宋_GB2312" w:hAnsi="仿宋_GB2312" w:cs="仿宋_GB2312" w:eastAsia="仿宋_GB2312"/>
                <w:sz w:val="24"/>
              </w:rPr>
              <w:t>保持林内巡护道路、防火通道的畅通。定期对道路两侧的杂草、灌木进行清理。对防护</w:t>
            </w:r>
            <w:r>
              <w:rPr>
                <w:rFonts w:ascii="仿宋_GB2312" w:hAnsi="仿宋_GB2312" w:cs="仿宋_GB2312" w:eastAsia="仿宋_GB2312"/>
                <w:sz w:val="24"/>
              </w:rPr>
              <w:t>(康养)林内的宣传牌、警示牌、果桩、围栏、监控杆塔等设施进行定期巡检、加固。对供配电、供水设施进行安全检查，防止漏电、漏水安全隐患。</w:t>
            </w:r>
          </w:p>
          <w:p>
            <w:pPr>
              <w:pStyle w:val="null3"/>
              <w:ind w:firstLine="482"/>
              <w:jc w:val="both"/>
            </w:pPr>
            <w:r>
              <w:rPr>
                <w:rFonts w:ascii="仿宋_GB2312" w:hAnsi="仿宋_GB2312" w:cs="仿宋_GB2312" w:eastAsia="仿宋_GB2312"/>
                <w:sz w:val="24"/>
                <w:b/>
              </w:rPr>
              <w:t>4.病虫害防治和野生动植物保护。</w:t>
            </w:r>
          </w:p>
          <w:p>
            <w:pPr>
              <w:pStyle w:val="null3"/>
              <w:ind w:firstLine="480"/>
              <w:jc w:val="both"/>
            </w:pPr>
            <w:r>
              <w:rPr>
                <w:rFonts w:ascii="仿宋_GB2312" w:hAnsi="仿宋_GB2312" w:cs="仿宋_GB2312" w:eastAsia="仿宋_GB2312"/>
                <w:sz w:val="24"/>
              </w:rPr>
              <w:t>贯彻</w:t>
            </w:r>
            <w:r>
              <w:rPr>
                <w:rFonts w:ascii="仿宋_GB2312" w:hAnsi="仿宋_GB2312" w:cs="仿宋_GB2312" w:eastAsia="仿宋_GB2312"/>
                <w:sz w:val="24"/>
              </w:rPr>
              <w:t>“预防为主，综合治理”的方针，加强病虫害监测，定期开展防寒、防虫刷白作业，科学安全使用药物防治，保护生态环境和人畜安全。保护林内野生动植物，维护生物多样性，发现破坏林木和猎捕野生动物行为及时制止和报告主管单位。</w:t>
            </w:r>
          </w:p>
          <w:p>
            <w:pPr>
              <w:pStyle w:val="null3"/>
              <w:ind w:firstLine="482"/>
              <w:jc w:val="both"/>
            </w:pPr>
            <w:r>
              <w:rPr>
                <w:rFonts w:ascii="仿宋_GB2312" w:hAnsi="仿宋_GB2312" w:cs="仿宋_GB2312" w:eastAsia="仿宋_GB2312"/>
                <w:sz w:val="24"/>
                <w:b/>
              </w:rPr>
              <w:t>5.环境卫生保洁。</w:t>
            </w:r>
          </w:p>
          <w:p>
            <w:pPr>
              <w:pStyle w:val="null3"/>
              <w:ind w:firstLine="480"/>
              <w:jc w:val="both"/>
            </w:pPr>
            <w:r>
              <w:rPr>
                <w:rFonts w:ascii="仿宋_GB2312" w:hAnsi="仿宋_GB2312" w:cs="仿宋_GB2312" w:eastAsia="仿宋_GB2312"/>
                <w:sz w:val="24"/>
              </w:rPr>
              <w:t>定期清除城北防护</w:t>
            </w:r>
            <w:r>
              <w:rPr>
                <w:rFonts w:ascii="仿宋_GB2312" w:hAnsi="仿宋_GB2312" w:cs="仿宋_GB2312" w:eastAsia="仿宋_GB2312"/>
                <w:sz w:val="24"/>
              </w:rPr>
              <w:t>(康养)林内道路及两侧、固定垃圾桶、市民健身娱乐区的生活垃圾，对垃圾堆到重点区域进行定期巡查监督，及时清运林内垃圾、废弃物，保持林区环境卫生整洁舒适。</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、有关要求</w:t>
            </w:r>
          </w:p>
          <w:p>
            <w:pPr>
              <w:pStyle w:val="null3"/>
              <w:ind w:firstLine="482"/>
              <w:jc w:val="both"/>
            </w:pPr>
            <w:r>
              <w:rPr>
                <w:rFonts w:ascii="仿宋_GB2312" w:hAnsi="仿宋_GB2312" w:cs="仿宋_GB2312" w:eastAsia="仿宋_GB2312"/>
                <w:sz w:val="24"/>
                <w:b/>
              </w:rPr>
              <w:t>1.明确责任主体:</w:t>
            </w:r>
            <w:r>
              <w:rPr>
                <w:rFonts w:ascii="仿宋_GB2312" w:hAnsi="仿宋_GB2312" w:cs="仿宋_GB2312" w:eastAsia="仿宋_GB2312"/>
                <w:sz w:val="24"/>
              </w:rPr>
              <w:t>东、西两区管护单位需严格对照本方案划定的范围与内容，细化管护清单，落实专人专责，确保管护工作无死角、无遗漏。</w:t>
            </w:r>
          </w:p>
          <w:p>
            <w:pPr>
              <w:pStyle w:val="null3"/>
              <w:ind w:firstLine="482"/>
              <w:jc w:val="both"/>
            </w:pPr>
            <w:r>
              <w:rPr>
                <w:rFonts w:ascii="仿宋_GB2312" w:hAnsi="仿宋_GB2312" w:cs="仿宋_GB2312" w:eastAsia="仿宋_GB2312"/>
                <w:sz w:val="24"/>
                <w:b/>
              </w:rPr>
              <w:t>2.规范管护流程:</w:t>
            </w:r>
            <w:r>
              <w:rPr>
                <w:rFonts w:ascii="仿宋_GB2312" w:hAnsi="仿宋_GB2312" w:cs="仿宋_GB2312" w:eastAsia="仿宋_GB2312"/>
                <w:sz w:val="24"/>
              </w:rPr>
              <w:t>建立常态化巡查机制，对林地植被生长、设施设备运行等情况定期检查，发现问题及时上报并处置，做好巡查记录存档。</w:t>
            </w:r>
          </w:p>
          <w:p>
            <w:pPr>
              <w:pStyle w:val="null3"/>
              <w:ind w:firstLine="482"/>
              <w:jc w:val="both"/>
            </w:pPr>
            <w:r>
              <w:rPr>
                <w:rFonts w:ascii="仿宋_GB2312" w:hAnsi="仿宋_GB2312" w:cs="仿宋_GB2312" w:eastAsia="仿宋_GB2312"/>
                <w:sz w:val="24"/>
                <w:b/>
              </w:rPr>
              <w:t>3.强化协同配合:</w:t>
            </w:r>
            <w:r>
              <w:rPr>
                <w:rFonts w:ascii="仿宋_GB2312" w:hAnsi="仿宋_GB2312" w:cs="仿宋_GB2312" w:eastAsia="仿宋_GB2312"/>
                <w:sz w:val="24"/>
              </w:rPr>
              <w:t>两区管护单位要加强沟通协作，针对跨区域的管护事项建立联动机制，共同保障城北防护</w:t>
            </w:r>
            <w:r>
              <w:rPr>
                <w:rFonts w:ascii="仿宋_GB2312" w:hAnsi="仿宋_GB2312" w:cs="仿宋_GB2312" w:eastAsia="仿宋_GB2312"/>
                <w:sz w:val="24"/>
              </w:rPr>
              <w:t>(康养)林管护工作高效推进。</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（1）设备配置（配置合理的养护管理设备）； （2）设备管理措施； （3）设备存放措施。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（1）设备配置（配置合理的养护管理设备）； （2）设备管理措施； （3）设备存放措施。</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1.明确责任主体:东区管护单位需严格对照本方案划定的范围与内容，细化管护清单，落实专人专责，确保管护工作无死角、无遗漏。 2.规范管护流程:建立常态化巡查机制，对林地植被生长、设施设备运行等情况定期检查，发现问题及时上报并处置，做好巡查记录存档。 3.强化协同配合:两区管护单位要加强沟通协作，针对跨区域的管护事项建立联动机制，共同保障城北防护(康养)林管护工作高效推进。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1.明确责任主体:西区管护单位需严格对照本方案划定的范围与内容，细化管护清单，落实专人专责，确保管护工作无死角、无遗漏。 2.规范管护流程:建立常态化巡查机制，对林地植被生长、设施设备运行等情况定期检查，发现问题及时上报并处置，做好巡查记录存档。 3.强化协同配合:两区管护单位要加强沟通协作，针对跨区域的管护事项建立联动机制，共同保障城北防护(康养)林管护工作高效推进。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1.技术标准：需满足的要求:符合国家和行业标准。服务期内，确保林区环境卫生整洁、设施运行安全、植被生长良好、无重大火灾及病虫害发生，考核合格率达到95%以上。 2.验收标准和方法：采购人按照政府采购相关法律法规以及《财政部关于进一步加强政府采购需求和履约验收管理的指导意见》（财库〔2016〕205 号）的要求；本项目合同；相关国家行业标准；本项目招标文件；中标人投标文件等进行验收。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1.技术标准：需满足的要求:符合国家和行业标准。服务期内，确保林区环境卫生整洁、设施运行安全、植被生长良好、无重大火灾及病虫害发生，考核合格率达到95%以上。 2.验收标准和方法：采购人按照政府采购相关法律法规以及《财政部关于进一步加强政府采购需求和履约验收管理的指导意见》（财库〔2016〕205 号）的要求；本项目合同；相关国家行业标准；本项目招标文件；中标人投标文件等进行验收。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向乙方支付合同总金额的40%作为预付款，待乙方完成本项目的所有服务内容后，甲方向乙方支付合同总金额的40%，甲方组织考评验收，验收合格后，乙方提交付款申请后，甲方向乙方支付合同总金额的20%（甲方根据对乙方的考核标准支付相应比例的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甲方向乙方支付合同总金额的40%作为预付款，待乙方完成本项目的所有服务内容后，甲方向乙方支付合同总金额的40%，甲方组织考评验收，验收合格后，乙方提交付款申请后，甲方向乙方支付合同总金额的20%（甲方根据对乙方的考核标准支付相应比例的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乙方未按合同约定及养护标准开展养护工作，导致林木成活率低于约定标准、发生病虫害灾害、森林火灾或设施损坏等情况的，乙方应承担修复、补植责任，所需费用由乙方承担；同时，甲方有权扣除相应养护费用，情节严重的，甲方有权解除合同并要求乙方支付合同总费用10%的违约金；如造成甲方其他损失的，乙方应予以赔偿。 （2）乙方擅自扩大养护范围、改变养护内容或转包、分包养护工作的，甲方有权解除合同，乙方应退还甲方已支付的全部费用，并支付合同总费用15%的违约金；如造成甲方损失的，乙方应予以赔偿。 （3）因不可抗力（如地震、洪水、台风等自然灾害）导致本合同无法履行或无法完全履行的，双方互不承担违约责任，但应在不可抗力发生后3日内及时通知对方，并在不可抗力消除后15日内协商后续处理事宜。 2.争议解决方式 （1）双方本着友好合作的态度，对本合同在履行过程中发生的争议或纠纷，由甲、乙双方当事人及时协商解决，协商不成的按下列第（1.2）种方式解决： （1.1）提交西安仲裁委员会仲裁； （1.2）依法向甲方所在地有管辖权的人民法院诉讼解决。 （2）本条款为独立条款，本合同的无效、变更、解除和终止均不影响本条款的效力。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 （1）乙方未按合同约定及养护标准开展养护工作，导致林木成活率低于约定标准、发生病虫害灾害、森林火灾或设施损坏等情况的，乙方应承担修复、补植责任，所需费用由乙方承担；同时，甲方有权扣除相应养护费用，情节严重的，甲方有权解除合同并要求乙方支付合同总费用10%的违约金；如造成甲方其他损失的，乙方应予以赔偿。 （2）乙方擅自扩大养护范围、改变养护内容或转包、分包养护工作的，甲方有权解除合同，乙方应退还甲方已支付的全部费用，并支付合同总费用15%的违约金；如造成甲方损失的，乙方应予以赔偿。 （3）因不可抗力（如地震、洪水、台风等自然灾害）导致本合同无法履行或无法完全履行的，双方互不承担违约责任，但应在不可抗力发生后3日内及时通知对方，并在不可抗力消除后15日内协商后续处理事宜。 2.争议解决方式 （1）双方本着友好合作的态度，对本合同在履行过程中发生的争议或纠纷，由甲、乙双方当事人及时协商解决，协商不成的按下列第（1.2）种方式解决： （1.1）提交西安仲裁委员会仲裁； （1.2）依法向甲方所在地有管辖权的人民法院诉讼解决。 （2）本条款为独立条款，本合同的无效、变更、解除和终止均不影响本条款的效力。</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是否允许联合体投标</w:t>
            </w:r>
          </w:p>
        </w:tc>
        <w:tc>
          <w:tcPr>
            <w:tcW w:type="dxa" w:w="3322"/>
          </w:tcPr>
          <w:p>
            <w:pPr>
              <w:pStyle w:val="null3"/>
            </w:pPr>
            <w:r>
              <w:rPr>
                <w:rFonts w:ascii="仿宋_GB2312" w:hAnsi="仿宋_GB2312" w:cs="仿宋_GB2312" w:eastAsia="仿宋_GB2312"/>
              </w:rPr>
              <w:t>本项目不接受联合体投标（提供非联合体投标承诺书）；供应商需在项目电子化交易系统中按要求上传相应证明文件并进行电子签章。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是否允许分包</w:t>
            </w:r>
          </w:p>
        </w:tc>
        <w:tc>
          <w:tcPr>
            <w:tcW w:type="dxa" w:w="3322"/>
          </w:tcPr>
          <w:p>
            <w:pPr>
              <w:pStyle w:val="null3"/>
            </w:pPr>
            <w:r>
              <w:rPr>
                <w:rFonts w:ascii="仿宋_GB2312" w:hAnsi="仿宋_GB2312" w:cs="仿宋_GB2312" w:eastAsia="仿宋_GB2312"/>
              </w:rPr>
              <w:t>本项目不允许分包。（提供不分包、转包承诺书）。供应商需在项目电子化交易系统中按要求上传相应证明文件并进行电子签章。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或2024年度经审计的完整有效财务报告(成立时间至响应文件递交截止时间不足一年的可提供成立后任意时段的资产负债表、利润表、现金流量表)，或其响应文件递交截止时间前三个月内基本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时间前六个月内任意一个月份的社会保障资金缴存单据或社保机构开具的社会保险参保缴费情况证明，依法不需要缴纳社会保障资金的供应商应提供相关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六个月内任意一个月份依法纳税证明或无欠税证明的相关凭据(时间以税款所属日期为准)，凭据应有税务机关或代收机关的公章或业务专用章；依法免税或无须缴纳税收的供应商，应提供相应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提供参加政府采购活动前三年内在经营活动中没有重大违法记录的书面声明，加盖供应商公章；供应商需在项目电子化交易系统中按要求上传相应证明文件并进行电子签章。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招标文件凡是法定代表人之处，非法人单位的负责人均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是否允许联合体投标</w:t>
            </w:r>
          </w:p>
        </w:tc>
        <w:tc>
          <w:tcPr>
            <w:tcW w:type="dxa" w:w="3322"/>
          </w:tcPr>
          <w:p>
            <w:pPr>
              <w:pStyle w:val="null3"/>
            </w:pPr>
            <w:r>
              <w:rPr>
                <w:rFonts w:ascii="仿宋_GB2312" w:hAnsi="仿宋_GB2312" w:cs="仿宋_GB2312" w:eastAsia="仿宋_GB2312"/>
              </w:rPr>
              <w:t>本项目不接受联合体投标（提供非联合体投标承诺书）；供应商需在项目电子化交易系统中按要求上传相应证明文件并进行电子签章。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是否允许分包</w:t>
            </w:r>
          </w:p>
        </w:tc>
        <w:tc>
          <w:tcPr>
            <w:tcW w:type="dxa" w:w="3322"/>
          </w:tcPr>
          <w:p>
            <w:pPr>
              <w:pStyle w:val="null3"/>
            </w:pPr>
            <w:r>
              <w:rPr>
                <w:rFonts w:ascii="仿宋_GB2312" w:hAnsi="仿宋_GB2312" w:cs="仿宋_GB2312" w:eastAsia="仿宋_GB2312"/>
              </w:rPr>
              <w:t>本项目不允许分包。（提供不分包、转包承诺书）。供应商需在项目电子化交易系统中按要求上传相应证明文件并进行电子签章。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投标文件的完整性</w:t>
            </w:r>
          </w:p>
        </w:tc>
        <w:tc>
          <w:tcPr>
            <w:tcW w:type="dxa" w:w="3322"/>
          </w:tcPr>
          <w:p>
            <w:pPr>
              <w:pStyle w:val="null3"/>
            </w:pPr>
            <w:r>
              <w:rPr>
                <w:rFonts w:ascii="仿宋_GB2312" w:hAnsi="仿宋_GB2312" w:cs="仿宋_GB2312" w:eastAsia="仿宋_GB2312"/>
              </w:rPr>
              <w:t>投标文件构成是否有重大缺项，是否按照招标文件要求的格式编写投标文件。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 。有效期是否满足招标文件规定，授权期限是否满足招标文件中规定的有效期。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投标文件方案是否有重大缺漏项；投标文件商务条款是否有重大偏离；对合同中规定的双方的权利和义务是否做出了实质性修改。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投标文件的完整性</w:t>
            </w:r>
          </w:p>
        </w:tc>
        <w:tc>
          <w:tcPr>
            <w:tcW w:type="dxa" w:w="3322"/>
          </w:tcPr>
          <w:p>
            <w:pPr>
              <w:pStyle w:val="null3"/>
            </w:pPr>
            <w:r>
              <w:rPr>
                <w:rFonts w:ascii="仿宋_GB2312" w:hAnsi="仿宋_GB2312" w:cs="仿宋_GB2312" w:eastAsia="仿宋_GB2312"/>
              </w:rPr>
              <w:t>投标文件构成是否有重大缺项，是否按照招标文件要求的格式编写投标文件。</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 。有效期是否满足招标文件规定，授权期限是否满足招标文件中规定的有效期。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投标文件方案是否有重大缺漏项；投标文件商务条款是否有重大偏离；对合同中规定的双方的权利和义务是否做出了实质性修改。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供应商资格证明文件.docx 类似业绩.docx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1.树木修剪养护方案（10分） 至少包括以下内容： （1）树木修剪养护实施方案； （2）养护管理服务措施 ①修剪时间安排； ②修剪措施； ③浇水养护措施。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2.森林防火管理方案（10分） 至少包括以下内容： （1）森林防火管理方案 （2）森林防火服务措施 ①巡逻措施； ②火源管控措施； ③宣传与预案。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3.基础设施维护与管理方案（10分） 至少包括以下内容： （1）基础设施维护与管理服务方案 （2）基础设施维护与管理措施 ①道路维护； ②设施巡检； ③水电设施管护。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4.病虫害防治和野生动植物保护方案（10分） 至少包括以下内容： （1）病虫害防治和野生动植物保护服务方案 （2）病虫害防治和野生动植物保护措施 ①监测与防治措施； ②药物使用措施； ③动植物保护措施。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5.环境卫生保洁方案（6分） 至少包括以下内容： （1）环境卫生保洁服务方案 （2）环境卫生保洁服务措施 ①日常保洁服务措施； ②重点区域环境卫生保洁服务措施。 评审依据： 每一项内容描述详细、切实可行且符合本项目实际得6分；内容任意一项缺项扣2分，扣完为止；内容每出现一项缺陷（缺陷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供应商针对本项目提供保障措施。 1.人员保障（6分） 1.1团队配置至少包括以下内容： （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 评审依据:每一项内容描述详细,切实可行符合本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2.设备保障（6分） 2.1设备配置至少包括以下内容： （1）设备配置（配置合理否的养护管理设备）； （2）设备管理措施； （3）设备存放措施。 评审依据:每一项内容描述详细,切实可行符合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3.管理制度保障（5分） 建立健全各项管理制度，至少包括： 1.日常巡查管理制度； 2.质量监督管理制度； 3.安全管理制度； 4.档案管理制度； 5.投诉处理制度。 评审依据:每一项内容描述详细,切实可行符合项目实际内容得1分，合计得5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针对本项目提供进度保障措施，至少包括： 1.进度安排； 2.各阶段的目标、流程； 3.进度保障措施； 评审依据:每一项内容描述详细,切实可行符合项目实际内容得1分，合计得3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应急处置机制</w:t>
            </w:r>
          </w:p>
        </w:tc>
        <w:tc>
          <w:tcPr>
            <w:tcW w:type="dxa" w:w="2492"/>
          </w:tcPr>
          <w:p>
            <w:pPr>
              <w:pStyle w:val="null3"/>
            </w:pPr>
            <w:r>
              <w:rPr>
                <w:rFonts w:ascii="仿宋_GB2312" w:hAnsi="仿宋_GB2312" w:cs="仿宋_GB2312" w:eastAsia="仿宋_GB2312"/>
              </w:rPr>
              <w:t>针对本项目可能发生的突发事件（如森林火灾、病虫害爆发、极端天气、设施损坏、安全事故等），建立完善的应急处置机制，至少包括： 1.应急组织措施； 2.应急响应措施； 3.应急演练措施； 4.善后处理措施。 评审依据:每一项内容描述详细,切实可行符合项目实际内容得1分，合计得4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合同履行期限及服务承诺</w:t>
            </w:r>
          </w:p>
        </w:tc>
        <w:tc>
          <w:tcPr>
            <w:tcW w:type="dxa" w:w="2492"/>
          </w:tcPr>
          <w:p>
            <w:pPr>
              <w:pStyle w:val="null3"/>
            </w:pPr>
            <w:r>
              <w:rPr>
                <w:rFonts w:ascii="仿宋_GB2312" w:hAnsi="仿宋_GB2312" w:cs="仿宋_GB2312" w:eastAsia="仿宋_GB2312"/>
              </w:rPr>
              <w:t>针对本项目，提供合同履行期限及服务承诺。 1.合同履行期限响应； 2.服务承诺。 评审依据:每一项内容描述详细,切实可行符合项目实际内容得2分，合计得4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供应商提供2022年1月1日以来完成的类似业绩，每提供一份计3分，最高计6分； 注：以成交通知书或协议书（合同）原件或加盖公章的复印件为准。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3.价格分=(评标基准价／投标报价)×报价分值。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1.树木修剪养护方案（10分） 至少包括以下内容： （1）树木修剪养护实施方案； （2）养护管理服务措施 ①修剪时间安排； ②修剪措施； ③浇水养护措施。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2.森林防火管理方案（10分） 至少包括以下内容： （1）森林防火管理方案 （2）森林防火服务措施 ①巡逻措施； ②火源管控措施； ③宣传与预案。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3.基础设施维护与管理方案（10分） 至少包括以下内容： （1）基础设施维护与管理服务方案 （2）基础设施维护与管理措施 ①道路维护； ②设施巡检； ③水电设施管护。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4.病虫害防治和野生动植物保护方案（10分） 至少包括以下内容： （1）病虫害防治和野生动植物保护服务方案 （2）病虫害防治和野生动植物保护措施 ①监测与防治措施； ②药物使用措施； ③动植物保护措施。 评审依据：每一项内容描述详细、切实可行且符合本项目实际得10分；内容任意一项缺项扣2.5分，扣完为止；内容每出现一项缺陷（缺陷指：内容不详细具体、条理不清晰、描述过于简单、与项目特点不匹配、凭空编造、出现常识性错误、不可能实现的夸大情形、存在不适用项目实际情况的情形等）扣0.5分；未提供不得分。 5.环境卫生保洁方案（6分） 至少包括以下内容： （1）环境卫生保洁服务方案 （2）环境卫生保洁服务措施 ①日常保洁服务措施； ②重点区域环境卫生保洁服务措施。 评审依据： 每一项内容描述详细、切实可行且符合本项目实际得6分；内容任意一项缺项扣2分，扣完为止；内容每出现一项缺陷（缺陷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供应商针对本项目提供保障措施。 1.人员保障（6分） 1.1团队配置至少包括以下内容： （1）团队配置：组建专业的服务团队，团队人员总数6人及以上，明确项目负责人，且其年龄60岁以下，拟投入本项目所有团队人员需要购买人身意外保险，在本项目服务期内，因供应商自身管理或团队人员自身原因发生的一切人身意外，相关责任和费用由供应商自行承担（提供购买人身意外保险及意外事故责任自己承担的承诺书）； （2）人员管理措施； （3）人员稳定性（提供承诺书）。 评审依据:每一项内容描述详细,切实可行符合本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2.设备保障（6分） 2.1设备配置至少包括以下内容： （1）设备配置（配置合理否的养护管理设备）； （2）设备管理措施； （3）设备存放措施。 评审依据:每一项内容描述详细,切实可行符合项目实际内容得2分，合计得6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 3.管理制度保障（5分） 建立健全各项管理制度，至少包括： 1.日常巡查管理制度； 2.质量监督管理制度； 3.安全管理制度； 4.档案管理制度； 5.投诉处理制度。 评审依据:每一项内容描述详细,切实可行符合项目实际内容得1分，合计得5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针对本项目提供进度保障措施，至少包括： 1.进度安排； 2.各阶段的目标、流程； 3.进度保障措施； 评审依据:每一项内容描述详细,切实可行符合项目实际内容得1分，合计得3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应急处置机制</w:t>
            </w:r>
          </w:p>
        </w:tc>
        <w:tc>
          <w:tcPr>
            <w:tcW w:type="dxa" w:w="2492"/>
          </w:tcPr>
          <w:p>
            <w:pPr>
              <w:pStyle w:val="null3"/>
            </w:pPr>
            <w:r>
              <w:rPr>
                <w:rFonts w:ascii="仿宋_GB2312" w:hAnsi="仿宋_GB2312" w:cs="仿宋_GB2312" w:eastAsia="仿宋_GB2312"/>
              </w:rPr>
              <w:t>针对本项目可能发生的突发事件（如森林火灾、病虫害爆发、极端天气、设施损坏、安全事故等），建立完善的应急处置机制，至少包括： 1.应急组织措施； 2.应急响应措施； 3.应急演练措施； 4.善后处理措施。 评审依据:每一项内容描述详细,切实可行符合项目实际内容得1分，合计得4分。内容任意一项缺项扣1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合同履行期限及服务承诺</w:t>
            </w:r>
          </w:p>
        </w:tc>
        <w:tc>
          <w:tcPr>
            <w:tcW w:type="dxa" w:w="2492"/>
          </w:tcPr>
          <w:p>
            <w:pPr>
              <w:pStyle w:val="null3"/>
            </w:pPr>
            <w:r>
              <w:rPr>
                <w:rFonts w:ascii="仿宋_GB2312" w:hAnsi="仿宋_GB2312" w:cs="仿宋_GB2312" w:eastAsia="仿宋_GB2312"/>
              </w:rPr>
              <w:t>针对本项目，提供合同履行期限及服务承诺。 1.合同履行期限响应； 2.服务承诺。 评审依据:每一项内容描述详细,切实可行符合项目实际内容得2分，合计得4分。内容任意一项缺项扣2分，扣完为止;内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供应商提供2022年1月1日以来完成的类似业绩，每提供一份计3分，最高计6分； 注：以成交通知书或协议书（合同）原件或加盖公章的复印件为准。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2.以满足本次招标文件要求的最低报价为评审基准价，其价格为满分； 3.价格分=(评标基准价／投标报价)×报价分值。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详见附件：蒲城县城北防护（康养）林养护管理项目（东区、西区）—服务合同（参考文本）.docx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