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B1C28">
      <w:pPr>
        <w:rPr>
          <w:rFonts w:hint="eastAsia" w:ascii="仿宋" w:hAnsi="仿宋" w:eastAsia="仿宋" w:cs="仿宋"/>
          <w:b/>
          <w:bCs/>
          <w:color w:val="auto"/>
          <w:sz w:val="24"/>
          <w:szCs w:val="24"/>
          <w:lang w:eastAsia="zh-CN"/>
        </w:rPr>
      </w:pPr>
      <w:r>
        <w:rPr>
          <w:rFonts w:hint="eastAsia" w:ascii="仿宋" w:hAnsi="仿宋" w:eastAsia="仿宋" w:cs="仿宋"/>
          <w:b/>
          <w:bCs/>
          <w:color w:val="auto"/>
          <w:sz w:val="28"/>
          <w:szCs w:val="28"/>
        </w:rPr>
        <w:t>政府采购项目公开招标</w:t>
      </w:r>
    </w:p>
    <w:p w14:paraId="68B7313E">
      <w:pPr>
        <w:keepNext w:val="0"/>
        <w:keepLines w:val="0"/>
        <w:widowControl/>
        <w:suppressLineNumbers w:val="0"/>
        <w:jc w:val="center"/>
        <w:rPr>
          <w:rFonts w:hint="eastAsia" w:ascii="仿宋" w:hAnsi="仿宋" w:eastAsia="仿宋" w:cs="仿宋"/>
          <w:color w:val="auto"/>
          <w:kern w:val="0"/>
          <w:sz w:val="32"/>
          <w:szCs w:val="32"/>
          <w:lang w:val="en-US" w:eastAsia="zh-CN" w:bidi="ar"/>
        </w:rPr>
      </w:pPr>
    </w:p>
    <w:p w14:paraId="7A7AD2D0">
      <w:pPr>
        <w:keepNext w:val="0"/>
        <w:keepLines w:val="0"/>
        <w:widowControl/>
        <w:suppressLineNumbers w:val="0"/>
        <w:jc w:val="center"/>
        <w:rPr>
          <w:rFonts w:hint="eastAsia" w:ascii="仿宋" w:hAnsi="仿宋" w:eastAsia="仿宋" w:cs="仿宋"/>
          <w:b/>
          <w:bCs/>
          <w:color w:val="auto"/>
          <w:kern w:val="0"/>
          <w:sz w:val="40"/>
          <w:szCs w:val="40"/>
          <w:lang w:val="en-US" w:eastAsia="zh-CN" w:bidi="ar"/>
        </w:rPr>
      </w:pPr>
      <w:r>
        <w:rPr>
          <w:rFonts w:hint="eastAsia" w:ascii="仿宋" w:hAnsi="仿宋" w:eastAsia="仿宋" w:cs="仿宋"/>
          <w:b/>
          <w:bCs/>
          <w:color w:val="auto"/>
          <w:kern w:val="0"/>
          <w:sz w:val="40"/>
          <w:szCs w:val="40"/>
          <w:lang w:val="en-US" w:eastAsia="zh-CN" w:bidi="ar"/>
        </w:rPr>
        <w:t>蒲城县城北防护（康养）林养护管理项目（东区）</w:t>
      </w:r>
    </w:p>
    <w:p w14:paraId="5C5AB635">
      <w:pPr>
        <w:keepNext w:val="0"/>
        <w:keepLines w:val="0"/>
        <w:widowControl/>
        <w:suppressLineNumbers w:val="0"/>
        <w:jc w:val="center"/>
        <w:rPr>
          <w:rFonts w:hint="eastAsia" w:ascii="仿宋" w:hAnsi="仿宋" w:eastAsia="仿宋" w:cs="仿宋"/>
          <w:color w:val="auto"/>
          <w:kern w:val="0"/>
          <w:sz w:val="32"/>
          <w:szCs w:val="32"/>
          <w:lang w:val="en-US" w:eastAsia="zh-CN" w:bidi="ar"/>
        </w:rPr>
      </w:pPr>
    </w:p>
    <w:p w14:paraId="0DF27235">
      <w:pPr>
        <w:keepNext w:val="0"/>
        <w:keepLines w:val="0"/>
        <w:widowControl/>
        <w:suppressLineNumbers w:val="0"/>
        <w:jc w:val="center"/>
        <w:rPr>
          <w:rFonts w:hint="eastAsia" w:ascii="仿宋" w:hAnsi="仿宋" w:eastAsia="仿宋" w:cs="仿宋"/>
          <w:b/>
          <w:bCs/>
          <w:color w:val="auto"/>
          <w:kern w:val="0"/>
          <w:sz w:val="32"/>
          <w:szCs w:val="32"/>
          <w:lang w:val="en-US" w:eastAsia="zh-CN" w:bidi="ar"/>
        </w:rPr>
      </w:pPr>
      <w:r>
        <w:rPr>
          <w:rFonts w:hint="eastAsia" w:ascii="仿宋" w:hAnsi="仿宋" w:eastAsia="仿宋" w:cs="仿宋"/>
          <w:b/>
          <w:bCs/>
          <w:color w:val="auto"/>
          <w:kern w:val="0"/>
          <w:sz w:val="32"/>
          <w:szCs w:val="32"/>
          <w:lang w:val="en-US" w:eastAsia="zh-CN" w:bidi="ar"/>
        </w:rPr>
        <w:t>服务合同</w:t>
      </w:r>
    </w:p>
    <w:p w14:paraId="47CD75B6">
      <w:pPr>
        <w:keepNext w:val="0"/>
        <w:keepLines w:val="0"/>
        <w:widowControl/>
        <w:suppressLineNumbers w:val="0"/>
        <w:jc w:val="center"/>
        <w:rPr>
          <w:rFonts w:hint="eastAsia" w:ascii="仿宋" w:hAnsi="仿宋" w:eastAsia="仿宋" w:cs="仿宋"/>
          <w:b/>
          <w:bCs/>
          <w:color w:val="auto"/>
          <w:kern w:val="0"/>
          <w:sz w:val="32"/>
          <w:szCs w:val="32"/>
          <w:lang w:val="en-US" w:eastAsia="zh-CN" w:bidi="ar"/>
        </w:rPr>
      </w:pPr>
      <w:r>
        <w:rPr>
          <w:rFonts w:hint="eastAsia" w:ascii="仿宋" w:hAnsi="仿宋" w:eastAsia="仿宋" w:cs="仿宋"/>
          <w:b/>
          <w:bCs/>
          <w:color w:val="auto"/>
          <w:kern w:val="0"/>
          <w:sz w:val="32"/>
          <w:szCs w:val="32"/>
          <w:lang w:val="en-US" w:eastAsia="zh-CN" w:bidi="ar"/>
        </w:rPr>
        <w:t>（参考文本）</w:t>
      </w:r>
    </w:p>
    <w:p w14:paraId="2BE99B43">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lang w:val="en-US" w:eastAsia="zh-CN"/>
        </w:rPr>
        <w:t>合同</w:t>
      </w:r>
      <w:r>
        <w:rPr>
          <w:rFonts w:hint="eastAsia" w:ascii="仿宋" w:hAnsi="仿宋" w:eastAsia="仿宋" w:cs="仿宋"/>
          <w:b/>
          <w:bCs/>
          <w:color w:val="auto"/>
          <w:sz w:val="32"/>
          <w:szCs w:val="32"/>
          <w:highlight w:val="none"/>
        </w:rPr>
        <w:t>编号：</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w:t>
      </w:r>
    </w:p>
    <w:p w14:paraId="6EFDBD30">
      <w:pPr>
        <w:rPr>
          <w:rFonts w:hint="eastAsia" w:ascii="仿宋" w:hAnsi="仿宋" w:eastAsia="仿宋" w:cs="仿宋"/>
          <w:color w:val="auto"/>
          <w:sz w:val="28"/>
          <w:szCs w:val="28"/>
        </w:rPr>
      </w:pPr>
    </w:p>
    <w:p w14:paraId="09ABE264">
      <w:pPr>
        <w:rPr>
          <w:rFonts w:hint="eastAsia" w:ascii="仿宋" w:hAnsi="仿宋" w:eastAsia="仿宋" w:cs="仿宋"/>
          <w:color w:val="auto"/>
          <w:sz w:val="28"/>
          <w:szCs w:val="28"/>
        </w:rPr>
      </w:pPr>
    </w:p>
    <w:p w14:paraId="468E6419">
      <w:pPr>
        <w:rPr>
          <w:rFonts w:hint="eastAsia" w:ascii="仿宋" w:hAnsi="仿宋" w:eastAsia="仿宋" w:cs="仿宋"/>
          <w:color w:val="auto"/>
          <w:sz w:val="28"/>
          <w:szCs w:val="28"/>
        </w:rPr>
      </w:pPr>
    </w:p>
    <w:p w14:paraId="61177046">
      <w:pPr>
        <w:rPr>
          <w:rFonts w:hint="eastAsia" w:ascii="仿宋" w:hAnsi="仿宋" w:eastAsia="仿宋" w:cs="仿宋"/>
          <w:color w:val="auto"/>
          <w:sz w:val="28"/>
          <w:szCs w:val="28"/>
        </w:rPr>
      </w:pPr>
    </w:p>
    <w:p w14:paraId="4D7A4D77">
      <w:pPr>
        <w:rPr>
          <w:rFonts w:hint="eastAsia" w:ascii="仿宋" w:hAnsi="仿宋" w:eastAsia="仿宋" w:cs="仿宋"/>
          <w:color w:val="auto"/>
          <w:sz w:val="28"/>
          <w:szCs w:val="28"/>
        </w:rPr>
      </w:pPr>
    </w:p>
    <w:p w14:paraId="0E6B0BF9">
      <w:pPr>
        <w:rPr>
          <w:rFonts w:hint="eastAsia" w:ascii="仿宋" w:hAnsi="仿宋" w:eastAsia="仿宋" w:cs="仿宋"/>
          <w:color w:val="auto"/>
          <w:sz w:val="28"/>
          <w:szCs w:val="28"/>
        </w:rPr>
      </w:pPr>
    </w:p>
    <w:p w14:paraId="4898808D">
      <w:pPr>
        <w:rPr>
          <w:rFonts w:hint="eastAsia" w:ascii="仿宋" w:hAnsi="仿宋" w:eastAsia="仿宋" w:cs="仿宋"/>
          <w:color w:val="auto"/>
          <w:sz w:val="28"/>
          <w:szCs w:val="28"/>
        </w:rPr>
      </w:pPr>
    </w:p>
    <w:p w14:paraId="6540F2E1">
      <w:pPr>
        <w:rPr>
          <w:rFonts w:hint="eastAsia" w:ascii="仿宋" w:hAnsi="仿宋" w:eastAsia="仿宋" w:cs="仿宋"/>
          <w:color w:val="auto"/>
          <w:sz w:val="28"/>
          <w:szCs w:val="28"/>
        </w:rPr>
      </w:pPr>
    </w:p>
    <w:p w14:paraId="639F5337">
      <w:pPr>
        <w:rPr>
          <w:rFonts w:hint="eastAsia" w:ascii="仿宋" w:hAnsi="仿宋" w:eastAsia="仿宋" w:cs="仿宋"/>
          <w:color w:val="auto"/>
          <w:sz w:val="28"/>
          <w:szCs w:val="28"/>
        </w:rPr>
      </w:pPr>
    </w:p>
    <w:p w14:paraId="1BCDC1C1">
      <w:pPr>
        <w:rPr>
          <w:rFonts w:hint="eastAsia" w:ascii="仿宋" w:hAnsi="仿宋" w:eastAsia="仿宋" w:cs="仿宋"/>
          <w:color w:val="auto"/>
          <w:sz w:val="28"/>
          <w:szCs w:val="28"/>
        </w:rPr>
      </w:pPr>
    </w:p>
    <w:p w14:paraId="6C0F121F">
      <w:pPr>
        <w:ind w:firstLine="1405" w:firstLineChars="500"/>
        <w:rPr>
          <w:rFonts w:hint="default" w:ascii="仿宋" w:hAnsi="仿宋" w:eastAsia="仿宋" w:cs="仿宋"/>
          <w:color w:val="auto"/>
          <w:sz w:val="28"/>
          <w:szCs w:val="28"/>
          <w:lang w:val="en-US" w:eastAsia="zh-CN"/>
        </w:rPr>
      </w:pPr>
      <w:r>
        <w:rPr>
          <w:rFonts w:hint="eastAsia" w:ascii="仿宋" w:hAnsi="仿宋" w:eastAsia="仿宋" w:cs="仿宋"/>
          <w:b/>
          <w:bCs/>
          <w:color w:val="auto"/>
          <w:sz w:val="28"/>
          <w:szCs w:val="28"/>
        </w:rPr>
        <w:t>甲方：</w:t>
      </w:r>
      <w:r>
        <w:rPr>
          <w:rFonts w:hint="eastAsia" w:ascii="仿宋" w:hAnsi="仿宋" w:eastAsia="仿宋" w:cs="仿宋"/>
          <w:color w:val="auto"/>
          <w:sz w:val="28"/>
          <w:szCs w:val="28"/>
          <w:u w:val="single"/>
          <w:lang w:val="en-US" w:eastAsia="zh-CN"/>
        </w:rPr>
        <w:t xml:space="preserve">   蒲城县林业局       </w:t>
      </w:r>
    </w:p>
    <w:p w14:paraId="0F1FE29B">
      <w:pPr>
        <w:ind w:firstLine="1405" w:firstLineChars="500"/>
        <w:rPr>
          <w:rFonts w:hint="default"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rPr>
        <w:t>乙方:</w:t>
      </w:r>
      <w:r>
        <w:rPr>
          <w:rFonts w:hint="eastAsia" w:ascii="仿宋" w:hAnsi="仿宋" w:eastAsia="仿宋" w:cs="仿宋"/>
          <w:b/>
          <w:bCs/>
          <w:color w:val="auto"/>
          <w:sz w:val="28"/>
          <w:szCs w:val="28"/>
          <w:u w:val="single"/>
          <w:lang w:val="en-US" w:eastAsia="zh-CN"/>
        </w:rPr>
        <w:t xml:space="preserve">                       </w:t>
      </w:r>
    </w:p>
    <w:p w14:paraId="387B1C94">
      <w:pPr>
        <w:rPr>
          <w:rFonts w:hint="eastAsia" w:ascii="仿宋" w:hAnsi="仿宋" w:eastAsia="仿宋" w:cs="仿宋"/>
          <w:color w:val="auto"/>
          <w:sz w:val="28"/>
          <w:szCs w:val="28"/>
        </w:rPr>
      </w:pPr>
    </w:p>
    <w:p w14:paraId="6215AA9F">
      <w:pPr>
        <w:jc w:val="center"/>
        <w:rPr>
          <w:rFonts w:hint="eastAsia" w:ascii="仿宋" w:hAnsi="仿宋" w:eastAsia="仿宋" w:cs="仿宋"/>
          <w:color w:val="auto"/>
          <w:sz w:val="28"/>
          <w:szCs w:val="28"/>
        </w:rPr>
      </w:pPr>
    </w:p>
    <w:p w14:paraId="31CB5460">
      <w:pPr>
        <w:jc w:val="center"/>
        <w:rPr>
          <w:rFonts w:hint="eastAsia" w:ascii="仿宋" w:hAnsi="仿宋" w:eastAsia="仿宋" w:cs="仿宋"/>
          <w:color w:val="auto"/>
          <w:sz w:val="28"/>
          <w:szCs w:val="28"/>
        </w:rPr>
      </w:pP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p>
    <w:p w14:paraId="68544F20">
      <w:pPr>
        <w:jc w:val="center"/>
        <w:rPr>
          <w:rFonts w:hint="eastAsia" w:ascii="仿宋" w:hAnsi="仿宋" w:eastAsia="仿宋" w:cs="仿宋"/>
          <w:b/>
          <w:bCs/>
          <w:color w:val="auto"/>
          <w:highlight w:val="none"/>
        </w:rPr>
        <w:sectPr>
          <w:pgSz w:w="11906" w:h="16838"/>
          <w:pgMar w:top="1134" w:right="1134" w:bottom="1134" w:left="1134" w:header="851" w:footer="992" w:gutter="0"/>
          <w:cols w:space="425" w:num="1"/>
          <w:docGrid w:type="lines" w:linePitch="312" w:charSpace="0"/>
        </w:sectPr>
      </w:pPr>
    </w:p>
    <w:p w14:paraId="4F957841">
      <w:pPr>
        <w:spacing w:line="360" w:lineRule="auto"/>
        <w:rPr>
          <w:rFonts w:hint="default" w:ascii="仿宋" w:hAnsi="仿宋" w:eastAsia="仿宋" w:cs="仿宋"/>
          <w:color w:val="auto"/>
          <w:sz w:val="24"/>
          <w:szCs w:val="24"/>
          <w:lang w:val="en-US"/>
        </w:rPr>
      </w:pPr>
      <w:r>
        <w:rPr>
          <w:rFonts w:hint="eastAsia" w:ascii="仿宋" w:hAnsi="仿宋" w:eastAsia="仿宋" w:cs="仿宋"/>
          <w:color w:val="auto"/>
          <w:sz w:val="24"/>
          <w:szCs w:val="24"/>
        </w:rPr>
        <w:t>甲方(全称):</w:t>
      </w:r>
      <w:r>
        <w:rPr>
          <w:rFonts w:hint="eastAsia" w:ascii="仿宋" w:hAnsi="仿宋" w:eastAsia="仿宋" w:cs="仿宋"/>
          <w:color w:val="auto"/>
          <w:sz w:val="24"/>
          <w:szCs w:val="24"/>
          <w:u w:val="single"/>
          <w:lang w:val="en-US" w:eastAsia="zh-CN"/>
        </w:rPr>
        <w:t xml:space="preserve">       蒲城县林业局      </w:t>
      </w:r>
    </w:p>
    <w:p w14:paraId="116D73F0">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lang w:val="en-US" w:eastAsia="zh-CN"/>
        </w:rPr>
        <w:t xml:space="preserve">                        </w:t>
      </w:r>
    </w:p>
    <w:p w14:paraId="3A4CDEF4">
      <w:pPr>
        <w:spacing w:line="360" w:lineRule="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地址：</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迎宾路南段广电大楼三楼</w:t>
      </w:r>
      <w:r>
        <w:rPr>
          <w:rFonts w:hint="eastAsia" w:ascii="仿宋" w:hAnsi="仿宋" w:eastAsia="仿宋" w:cs="仿宋"/>
          <w:color w:val="auto"/>
          <w:sz w:val="24"/>
          <w:szCs w:val="24"/>
          <w:u w:val="single"/>
          <w:lang w:val="en-US" w:eastAsia="zh-CN"/>
        </w:rPr>
        <w:t xml:space="preserve">    </w:t>
      </w:r>
    </w:p>
    <w:p w14:paraId="3F0CE0DD">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lang w:val="en-US" w:eastAsia="zh-CN"/>
        </w:rPr>
        <w:t xml:space="preserve">                          </w:t>
      </w:r>
    </w:p>
    <w:p w14:paraId="7E7CA0F6">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乙方（全称）：</w:t>
      </w:r>
      <w:r>
        <w:rPr>
          <w:rFonts w:hint="eastAsia" w:ascii="仿宋" w:hAnsi="仿宋" w:eastAsia="仿宋" w:cs="仿宋"/>
          <w:color w:val="auto"/>
          <w:sz w:val="24"/>
          <w:szCs w:val="24"/>
          <w:u w:val="single"/>
          <w:lang w:val="en-US" w:eastAsia="zh-CN"/>
        </w:rPr>
        <w:t xml:space="preserve">                      </w:t>
      </w:r>
    </w:p>
    <w:p w14:paraId="09BD700A">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lang w:val="en-US" w:eastAsia="zh-CN"/>
        </w:rPr>
        <w:t xml:space="preserve">                        </w:t>
      </w:r>
    </w:p>
    <w:p w14:paraId="52B51504">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地址：</w:t>
      </w:r>
      <w:r>
        <w:rPr>
          <w:rFonts w:hint="eastAsia" w:ascii="仿宋" w:hAnsi="仿宋" w:eastAsia="仿宋" w:cs="仿宋"/>
          <w:color w:val="auto"/>
          <w:sz w:val="24"/>
          <w:szCs w:val="24"/>
          <w:u w:val="single"/>
          <w:lang w:val="en-US" w:eastAsia="zh-CN"/>
        </w:rPr>
        <w:t xml:space="preserve">                              </w:t>
      </w:r>
    </w:p>
    <w:p w14:paraId="69276E29">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lang w:val="en-US" w:eastAsia="zh-CN"/>
        </w:rPr>
        <w:t xml:space="preserve">                          </w:t>
      </w:r>
    </w:p>
    <w:p w14:paraId="14A8D99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鉴于甲方就</w:t>
      </w:r>
      <w:r>
        <w:rPr>
          <w:rFonts w:hint="eastAsia" w:ascii="仿宋" w:hAnsi="仿宋" w:eastAsia="仿宋" w:cs="仿宋"/>
          <w:color w:val="auto"/>
          <w:sz w:val="24"/>
          <w:szCs w:val="24"/>
          <w:u w:val="single"/>
          <w:lang w:val="en-US" w:eastAsia="zh-CN"/>
        </w:rPr>
        <w:t>蒲城县城北防护（康养）林养护管理项目</w:t>
      </w:r>
      <w:r>
        <w:rPr>
          <w:rFonts w:hint="eastAsia" w:ascii="仿宋" w:hAnsi="仿宋" w:eastAsia="仿宋" w:cs="仿宋"/>
          <w:color w:val="auto"/>
          <w:sz w:val="24"/>
          <w:szCs w:val="24"/>
        </w:rPr>
        <w:t>进行政府采购，乙方经合法程序中标，双方经友好协商，根据《中华人民共和国政府采购法》及实施条例、《中华人民共和国民法典》及其他有关法律、法规，遵循平等、自愿、公平和诚信的原则，双方就下述项目范围与相关服务事项协商一致，订立本合同。</w:t>
      </w:r>
    </w:p>
    <w:p w14:paraId="0BA51323">
      <w:pPr>
        <w:spacing w:line="360" w:lineRule="auto"/>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项目概况</w:t>
      </w:r>
    </w:p>
    <w:p w14:paraId="63E97B82">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1.项目名称：</w:t>
      </w:r>
      <w:r>
        <w:rPr>
          <w:rFonts w:hint="eastAsia" w:ascii="仿宋" w:hAnsi="仿宋" w:eastAsia="仿宋" w:cs="仿宋"/>
          <w:color w:val="auto"/>
          <w:sz w:val="24"/>
          <w:szCs w:val="24"/>
          <w:u w:val="single"/>
          <w:lang w:val="en-US" w:eastAsia="zh-CN"/>
        </w:rPr>
        <w:t>蒲城县城北防护（康养）林养护管理项目（东区）</w:t>
      </w:r>
    </w:p>
    <w:p w14:paraId="57A2E57B">
      <w:pPr>
        <w:spacing w:line="360" w:lineRule="auto"/>
        <w:ind w:firstLine="480" w:firstLineChars="200"/>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2.项目地点：</w:t>
      </w:r>
      <w:r>
        <w:rPr>
          <w:rFonts w:hint="eastAsia" w:ascii="仿宋" w:hAnsi="仿宋" w:eastAsia="仿宋" w:cs="仿宋"/>
          <w:color w:val="auto"/>
          <w:sz w:val="24"/>
          <w:szCs w:val="24"/>
          <w:u w:val="single"/>
          <w:lang w:val="en-US" w:eastAsia="zh-CN"/>
        </w:rPr>
        <w:t xml:space="preserve">                                    </w:t>
      </w:r>
    </w:p>
    <w:p w14:paraId="49AB37C5">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合同履行期限</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自合同签订之日起一年。</w:t>
      </w:r>
      <w:r>
        <w:rPr>
          <w:rFonts w:hint="eastAsia" w:ascii="仿宋" w:hAnsi="仿宋" w:eastAsia="仿宋" w:cs="仿宋"/>
          <w:color w:val="auto"/>
          <w:sz w:val="24"/>
          <w:szCs w:val="24"/>
          <w:u w:val="single"/>
          <w:lang w:val="en-US" w:eastAsia="zh-CN"/>
        </w:rPr>
        <w:t xml:space="preserve">      </w:t>
      </w:r>
    </w:p>
    <w:p w14:paraId="4FE5463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蒲城县防护林南至北环路，北至五陵路，西至蒲白运煤专线，东至东城大道。涉及尧山镇、奉先街道、紫荆街道3个镇(街道)，9个行政村，总面积约8502亩。其中林地4320.8亩，园地、道路、管护房、广场、停车场等共计2305.9亩，管护面积共计6626.7亩。</w:t>
      </w:r>
    </w:p>
    <w:p w14:paraId="2F61692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管护内容概况</w:t>
      </w:r>
    </w:p>
    <w:p w14:paraId="7C489C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32"/>
          <w:lang w:eastAsia="zh-CN"/>
        </w:rPr>
      </w:pPr>
      <w:r>
        <w:rPr>
          <w:rFonts w:hint="eastAsia" w:ascii="仿宋" w:hAnsi="仿宋" w:eastAsia="仿宋" w:cs="仿宋"/>
          <w:color w:val="auto"/>
          <w:sz w:val="24"/>
          <w:szCs w:val="32"/>
        </w:rPr>
        <w:t>本项目管护范围涵盖林地与各类配套设施，具体如下</w:t>
      </w:r>
      <w:r>
        <w:rPr>
          <w:rFonts w:hint="eastAsia" w:ascii="仿宋" w:hAnsi="仿宋" w:eastAsia="仿宋" w:cs="仿宋"/>
          <w:color w:val="auto"/>
          <w:sz w:val="24"/>
          <w:szCs w:val="32"/>
          <w:lang w:eastAsia="zh-CN"/>
        </w:rPr>
        <w:t>：</w:t>
      </w:r>
    </w:p>
    <w:p w14:paraId="47B3897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highlight w:val="none"/>
        </w:rPr>
      </w:pPr>
      <w:r>
        <w:rPr>
          <w:rFonts w:hint="eastAsia" w:ascii="仿宋" w:hAnsi="仿宋" w:eastAsia="仿宋" w:cs="仿宋"/>
          <w:b/>
          <w:bCs/>
          <w:color w:val="auto"/>
          <w:sz w:val="24"/>
          <w:szCs w:val="32"/>
          <w:highlight w:val="none"/>
        </w:rPr>
        <w:t>1.林地管护</w:t>
      </w:r>
      <w:r>
        <w:rPr>
          <w:rFonts w:hint="eastAsia" w:ascii="仿宋" w:hAnsi="仿宋" w:eastAsia="仿宋" w:cs="仿宋"/>
          <w:b/>
          <w:bCs/>
          <w:color w:val="auto"/>
          <w:sz w:val="24"/>
          <w:szCs w:val="32"/>
          <w:highlight w:val="none"/>
          <w:lang w:eastAsia="zh-CN"/>
        </w:rPr>
        <w:t>：</w:t>
      </w:r>
      <w:r>
        <w:rPr>
          <w:rFonts w:hint="eastAsia" w:ascii="仿宋" w:hAnsi="仿宋" w:eastAsia="仿宋" w:cs="仿宋"/>
          <w:color w:val="auto"/>
          <w:sz w:val="24"/>
          <w:szCs w:val="32"/>
          <w:highlight w:val="none"/>
        </w:rPr>
        <w:t>总面积4320.8亩,分为东区</w:t>
      </w:r>
      <w:r>
        <w:rPr>
          <w:rFonts w:hint="eastAsia" w:ascii="仿宋" w:hAnsi="仿宋" w:eastAsia="仿宋" w:cs="仿宋"/>
          <w:color w:val="auto"/>
          <w:sz w:val="24"/>
          <w:szCs w:val="32"/>
          <w:highlight w:val="none"/>
        </w:rPr>
        <w:t>2104.6亩</w:t>
      </w:r>
      <w:r>
        <w:rPr>
          <w:rFonts w:hint="eastAsia" w:ascii="仿宋" w:hAnsi="仿宋" w:eastAsia="仿宋" w:cs="仿宋"/>
          <w:color w:val="auto"/>
          <w:sz w:val="24"/>
          <w:szCs w:val="32"/>
          <w:highlight w:val="none"/>
        </w:rPr>
        <w:t>(绿植面积为121亩)、西区</w:t>
      </w:r>
      <w:r>
        <w:rPr>
          <w:rFonts w:hint="eastAsia" w:ascii="仿宋" w:hAnsi="仿宋" w:eastAsia="仿宋" w:cs="仿宋"/>
          <w:color w:val="auto"/>
          <w:sz w:val="24"/>
          <w:szCs w:val="32"/>
          <w:highlight w:val="none"/>
        </w:rPr>
        <w:t>2216.2</w:t>
      </w:r>
      <w:r>
        <w:rPr>
          <w:rFonts w:hint="eastAsia" w:ascii="仿宋" w:hAnsi="仿宋" w:eastAsia="仿宋" w:cs="仿宋"/>
          <w:color w:val="auto"/>
          <w:sz w:val="24"/>
          <w:szCs w:val="32"/>
          <w:highlight w:val="none"/>
        </w:rPr>
        <w:t>亩(绿植面积为66亩)。</w:t>
      </w:r>
    </w:p>
    <w:p w14:paraId="52C481C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highlight w:val="none"/>
        </w:rPr>
      </w:pPr>
      <w:r>
        <w:rPr>
          <w:rFonts w:hint="eastAsia" w:ascii="仿宋" w:hAnsi="仿宋" w:eastAsia="仿宋" w:cs="仿宋"/>
          <w:b/>
          <w:bCs/>
          <w:color w:val="auto"/>
          <w:sz w:val="24"/>
          <w:szCs w:val="32"/>
          <w:highlight w:val="none"/>
        </w:rPr>
        <w:t>2.基础设施管护</w:t>
      </w:r>
      <w:r>
        <w:rPr>
          <w:rFonts w:hint="eastAsia" w:ascii="仿宋" w:hAnsi="仿宋" w:eastAsia="仿宋" w:cs="仿宋"/>
          <w:b/>
          <w:bCs/>
          <w:color w:val="auto"/>
          <w:sz w:val="24"/>
          <w:szCs w:val="32"/>
          <w:highlight w:val="none"/>
          <w:lang w:eastAsia="zh-CN"/>
        </w:rPr>
        <w:t>：</w:t>
      </w:r>
      <w:r>
        <w:rPr>
          <w:rFonts w:hint="eastAsia" w:ascii="仿宋" w:hAnsi="仿宋" w:eastAsia="仿宋" w:cs="仿宋"/>
          <w:color w:val="auto"/>
          <w:sz w:val="24"/>
          <w:szCs w:val="32"/>
          <w:highlight w:val="none"/>
        </w:rPr>
        <w:t>道路13.8公里，茅草亭子2个，成品管理房5个，成品厕所7个，新建管护房3个，新建厕所1个，休闲坐凳和垃圾桶120套。</w:t>
      </w:r>
    </w:p>
    <w:p w14:paraId="1B9E7CA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rPr>
      </w:pPr>
      <w:r>
        <w:rPr>
          <w:rFonts w:hint="eastAsia" w:ascii="仿宋" w:hAnsi="仿宋" w:eastAsia="仿宋" w:cs="仿宋"/>
          <w:b/>
          <w:bCs/>
          <w:color w:val="auto"/>
          <w:sz w:val="24"/>
          <w:szCs w:val="32"/>
        </w:rPr>
        <w:t>3.设备设施管护</w:t>
      </w:r>
      <w:r>
        <w:rPr>
          <w:rFonts w:hint="eastAsia" w:ascii="仿宋" w:hAnsi="仿宋" w:eastAsia="仿宋" w:cs="仿宋"/>
          <w:b/>
          <w:bCs/>
          <w:color w:val="auto"/>
          <w:sz w:val="24"/>
          <w:szCs w:val="32"/>
          <w:lang w:eastAsia="zh-CN"/>
        </w:rPr>
        <w:t>：</w:t>
      </w:r>
      <w:r>
        <w:rPr>
          <w:rFonts w:hint="eastAsia" w:ascii="仿宋" w:hAnsi="仿宋" w:eastAsia="仿宋" w:cs="仿宋"/>
          <w:color w:val="auto"/>
          <w:sz w:val="24"/>
          <w:szCs w:val="32"/>
        </w:rPr>
        <w:t>10米太阳能路灯347盏、5米太阳能路灯59盏</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菜地水龙头及水表220套</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监控系统1套</w:t>
      </w:r>
      <w:r>
        <w:rPr>
          <w:rFonts w:hint="eastAsia" w:ascii="仿宋" w:hAnsi="仿宋" w:eastAsia="仿宋" w:cs="仿宋"/>
          <w:color w:val="auto"/>
          <w:sz w:val="24"/>
          <w:szCs w:val="32"/>
          <w:lang w:eastAsia="zh-CN"/>
        </w:rPr>
        <w:t>、机井</w:t>
      </w:r>
      <w:r>
        <w:rPr>
          <w:rFonts w:hint="eastAsia" w:ascii="仿宋" w:hAnsi="仿宋" w:eastAsia="仿宋" w:cs="仿宋"/>
          <w:color w:val="auto"/>
          <w:sz w:val="24"/>
          <w:szCs w:val="32"/>
          <w:lang w:val="en-US" w:eastAsia="zh-CN"/>
        </w:rPr>
        <w:t>水泵1套、60KV变压器1套</w:t>
      </w:r>
      <w:r>
        <w:rPr>
          <w:rFonts w:hint="eastAsia" w:ascii="仿宋" w:hAnsi="仿宋" w:eastAsia="仿宋" w:cs="仿宋"/>
          <w:color w:val="auto"/>
          <w:sz w:val="24"/>
          <w:szCs w:val="32"/>
        </w:rPr>
        <w:t>。</w:t>
      </w:r>
    </w:p>
    <w:p w14:paraId="78FF52B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二</w:t>
      </w:r>
      <w:r>
        <w:rPr>
          <w:rFonts w:hint="eastAsia" w:ascii="仿宋" w:hAnsi="仿宋" w:eastAsia="仿宋" w:cs="仿宋"/>
          <w:b/>
          <w:bCs/>
          <w:color w:val="auto"/>
          <w:sz w:val="24"/>
          <w:szCs w:val="24"/>
          <w:lang w:eastAsia="zh-CN"/>
        </w:rPr>
        <w:t>）东区管护范围及内容</w:t>
      </w:r>
    </w:p>
    <w:p w14:paraId="22FDD5B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rPr>
      </w:pPr>
      <w:r>
        <w:rPr>
          <w:rFonts w:hint="eastAsia" w:ascii="仿宋" w:hAnsi="仿宋" w:eastAsia="仿宋" w:cs="仿宋"/>
          <w:b/>
          <w:bCs/>
          <w:color w:val="auto"/>
          <w:sz w:val="24"/>
          <w:szCs w:val="24"/>
        </w:rPr>
        <w:t>东区管护范围</w:t>
      </w:r>
      <w:r>
        <w:rPr>
          <w:rFonts w:hint="eastAsia" w:ascii="仿宋" w:hAnsi="仿宋" w:eastAsia="仿宋" w:cs="仿宋"/>
          <w:b/>
          <w:bCs/>
          <w:color w:val="auto"/>
          <w:sz w:val="24"/>
          <w:szCs w:val="24"/>
          <w:lang w:eastAsia="zh-CN"/>
        </w:rPr>
        <w:t>：</w:t>
      </w:r>
      <w:r>
        <w:rPr>
          <w:rFonts w:hint="eastAsia" w:ascii="仿宋" w:hAnsi="仿宋" w:eastAsia="仿宋" w:cs="仿宋"/>
          <w:color w:val="auto"/>
          <w:sz w:val="24"/>
          <w:szCs w:val="32"/>
        </w:rPr>
        <w:t>东区管护范围</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南至北环路，北至五陵路，西至太和村进村路，东至东城大道。管护面积为3298</w:t>
      </w:r>
      <w:r>
        <w:rPr>
          <w:rFonts w:hint="eastAsia" w:ascii="仿宋" w:hAnsi="仿宋" w:eastAsia="仿宋" w:cs="仿宋"/>
          <w:color w:val="auto"/>
          <w:sz w:val="24"/>
          <w:szCs w:val="32"/>
          <w:lang w:val="en-US" w:eastAsia="zh-CN"/>
        </w:rPr>
        <w:t>.</w:t>
      </w:r>
      <w:r>
        <w:rPr>
          <w:rFonts w:hint="eastAsia" w:ascii="仿宋" w:hAnsi="仿宋" w:eastAsia="仿宋" w:cs="仿宋"/>
          <w:color w:val="auto"/>
          <w:sz w:val="24"/>
          <w:szCs w:val="32"/>
        </w:rPr>
        <w:t>3亩，林地面积</w:t>
      </w:r>
      <w:r>
        <w:rPr>
          <w:rFonts w:hint="eastAsia" w:ascii="仿宋" w:hAnsi="仿宋" w:eastAsia="仿宋" w:cs="仿宋"/>
          <w:color w:val="auto"/>
          <w:sz w:val="24"/>
          <w:szCs w:val="32"/>
          <w:highlight w:val="none"/>
          <w:lang w:val="en-US" w:eastAsia="zh-CN"/>
        </w:rPr>
        <w:t>2104.6</w:t>
      </w:r>
      <w:r>
        <w:rPr>
          <w:rFonts w:hint="eastAsia" w:ascii="仿宋" w:hAnsi="仿宋" w:eastAsia="仿宋" w:cs="仿宋"/>
          <w:color w:val="auto"/>
          <w:sz w:val="24"/>
          <w:szCs w:val="32"/>
        </w:rPr>
        <w:t>亩，(</w:t>
      </w:r>
      <w:r>
        <w:rPr>
          <w:rFonts w:hint="eastAsia" w:ascii="仿宋" w:hAnsi="仿宋" w:eastAsia="仿宋" w:cs="仿宋"/>
          <w:color w:val="auto"/>
          <w:sz w:val="24"/>
          <w:szCs w:val="32"/>
          <w:lang w:val="en-US" w:eastAsia="zh-CN"/>
        </w:rPr>
        <w:t>含</w:t>
      </w:r>
      <w:r>
        <w:rPr>
          <w:rFonts w:hint="eastAsia" w:ascii="仿宋" w:hAnsi="仿宋" w:eastAsia="仿宋" w:cs="仿宋"/>
          <w:color w:val="auto"/>
          <w:sz w:val="24"/>
          <w:szCs w:val="32"/>
        </w:rPr>
        <w:t>绿植面积为121亩)，道路8.4公里</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负责管护房3个、成品厕所</w:t>
      </w:r>
      <w:r>
        <w:rPr>
          <w:rFonts w:hint="eastAsia" w:ascii="仿宋" w:hAnsi="仿宋" w:eastAsia="仿宋" w:cs="仿宋"/>
          <w:color w:val="auto"/>
          <w:sz w:val="24"/>
          <w:szCs w:val="32"/>
          <w:lang w:val="en-US" w:eastAsia="zh-CN"/>
        </w:rPr>
        <w:t>4</w:t>
      </w:r>
      <w:r>
        <w:rPr>
          <w:rFonts w:hint="eastAsia" w:ascii="仿宋" w:hAnsi="仿宋" w:eastAsia="仿宋" w:cs="仿宋"/>
          <w:color w:val="auto"/>
          <w:sz w:val="24"/>
          <w:szCs w:val="32"/>
        </w:rPr>
        <w:t>个</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休闲坐凳和垃圾桶70套</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太阳能路灯282盏</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菜地水龙头及水表220套</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监控系统1套</w:t>
      </w:r>
      <w:r>
        <w:rPr>
          <w:rFonts w:hint="eastAsia" w:ascii="仿宋" w:hAnsi="仿宋" w:eastAsia="仿宋" w:cs="仿宋"/>
          <w:color w:val="auto"/>
          <w:sz w:val="24"/>
          <w:szCs w:val="32"/>
          <w:lang w:eastAsia="zh-CN"/>
        </w:rPr>
        <w:t>、机井</w:t>
      </w:r>
      <w:r>
        <w:rPr>
          <w:rFonts w:hint="eastAsia" w:ascii="仿宋" w:hAnsi="仿宋" w:eastAsia="仿宋" w:cs="仿宋"/>
          <w:color w:val="auto"/>
          <w:sz w:val="24"/>
          <w:szCs w:val="32"/>
          <w:lang w:val="en-US" w:eastAsia="zh-CN"/>
        </w:rPr>
        <w:t>水泵1套、60KV变压器1套</w:t>
      </w:r>
      <w:r>
        <w:rPr>
          <w:rFonts w:hint="eastAsia" w:ascii="仿宋" w:hAnsi="仿宋" w:eastAsia="仿宋" w:cs="仿宋"/>
          <w:color w:val="auto"/>
          <w:sz w:val="24"/>
          <w:szCs w:val="32"/>
        </w:rPr>
        <w:t>。</w:t>
      </w:r>
    </w:p>
    <w:p w14:paraId="2C404A6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主要养护管理内容</w:t>
      </w:r>
    </w:p>
    <w:p w14:paraId="0F006C0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树木修剪养护。</w:t>
      </w:r>
    </w:p>
    <w:p w14:paraId="663F5B9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依据“因树修剪、随枝作形、平衡树势、促进生长”的原则，在林木休眠期(晚秋至早春)，对枯死枝、病虫枝、衰弱枝、过密交叉枝、下垂妨碍枝等进行养护修剪</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对景观要求较高的路段或节点林木进行适度整形，对靠近电力线路、交通标志、建筑物等的林木枝条及时清理，科学合理浇水养护，水肥“浇透”有效，优化林分结构，保持林木健康形态，保证树木生长良好</w:t>
      </w:r>
      <w:r>
        <w:rPr>
          <w:rFonts w:hint="eastAsia" w:ascii="仿宋" w:hAnsi="仿宋" w:eastAsia="仿宋" w:cs="仿宋"/>
          <w:b w:val="0"/>
          <w:bCs w:val="0"/>
          <w:color w:val="auto"/>
          <w:sz w:val="24"/>
          <w:szCs w:val="24"/>
          <w:lang w:eastAsia="zh-CN"/>
        </w:rPr>
        <w:t>。</w:t>
      </w:r>
    </w:p>
    <w:p w14:paraId="42781AE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森林防火管理。</w:t>
      </w:r>
    </w:p>
    <w:p w14:paraId="345BF8F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rPr>
        <w:t>加强城北防护(康养)林及周边巡逻</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防火期(10月1日--次年4月30日)严禁携带火种进入林区</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严禁在林内及边缘地带吸烟、野炊、烧荒、燃放烟花爆竹等一切</w:t>
      </w:r>
      <w:r>
        <w:rPr>
          <w:rFonts w:hint="eastAsia" w:ascii="仿宋" w:hAnsi="仿宋" w:eastAsia="仿宋" w:cs="仿宋"/>
          <w:b w:val="0"/>
          <w:bCs w:val="0"/>
          <w:color w:val="auto"/>
          <w:sz w:val="24"/>
          <w:szCs w:val="24"/>
          <w:lang w:val="en-US" w:eastAsia="zh-CN"/>
        </w:rPr>
        <w:t>野外用火行为。及时清理林下、林缘、防火隔离带内的枯枝落叶、杂草等可燃物。加强与周边村组的联防联控，宣传防火知识，提高公众防火意识。完善森林火灾应急预案，确保防火物资充足有效。</w:t>
      </w:r>
    </w:p>
    <w:p w14:paraId="109C78D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3.基础设施维护与管理。</w:t>
      </w:r>
    </w:p>
    <w:p w14:paraId="3FF9660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保持林内巡护道路、防火通道的畅通。定期对道路两侧的杂草、灌木进行清理。对防护(康养)林内的宣传牌、警示牌、果桩、围栏、监控杆塔等设施进行定期巡检、加固。对供配电、供水设施进行安全检查，防止漏电、漏水安全隐患。</w:t>
      </w:r>
    </w:p>
    <w:p w14:paraId="6CCACD8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4.病虫害防治和野生动植物保护。</w:t>
      </w:r>
    </w:p>
    <w:p w14:paraId="4F32D16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贯彻“预防为主，综合治理”的方针，加强病虫害监测，定期开展防寒、防虫刷白作业，科学安全使用药物防治，保护生态环境和人畜安全。保护林内野生动植物，维护生物多样性，发现破坏林木和猎捕野生动物行为及时制止和报告主管单位。</w:t>
      </w:r>
    </w:p>
    <w:p w14:paraId="541D7F4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5.环境卫生保洁。</w:t>
      </w:r>
    </w:p>
    <w:p w14:paraId="1B11EFD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定期清除城北防护(康养)林内道路及两侧、固定垃圾桶、市民健身娱乐区的生活垃圾，对垃圾堆到重点区域进行定期巡查监督，及时清运林内垃圾、废弃物，保持林区环境卫生整洁舒适。</w:t>
      </w:r>
    </w:p>
    <w:p w14:paraId="44574253">
      <w:pPr>
        <w:pStyle w:val="2"/>
        <w:keepNext w:val="0"/>
        <w:keepLines w:val="0"/>
        <w:widowControl/>
        <w:suppressLineNumbers w:val="0"/>
        <w:ind w:firstLine="482"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养护管理标准</w:t>
      </w:r>
    </w:p>
    <w:p w14:paraId="3CEB8153">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林木成活率：养护期间，原有林木成活率不低于%；新增补植林木（如需要）成活率不低于</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w:t>
      </w:r>
    </w:p>
    <w:p w14:paraId="52459026">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病虫害防治：病虫害发生率控制在</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%以下，不发生大面积、突发性病虫害灾害；防治后病虫害得到有效控制，林木生长不受严重影响。</w:t>
      </w:r>
    </w:p>
    <w:p w14:paraId="410500BA">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防火要求：养护期间不发生一般及以上森林火灾；防火设施完好率不低于</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%，防火隔离带保持畅通、无易燃物堆积。</w:t>
      </w:r>
    </w:p>
    <w:p w14:paraId="57BC0D89">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设施维护：林业基础设施完好率不低于</w:t>
      </w:r>
      <w:r>
        <w:rPr>
          <w:rFonts w:hint="eastAsia" w:ascii="仿宋" w:hAnsi="仿宋" w:eastAsia="仿宋" w:cs="仿宋"/>
          <w:i/>
          <w:iCs/>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%，损坏设施在</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日内完成修复（特殊情况除外）。</w:t>
      </w:r>
    </w:p>
    <w:p w14:paraId="16DE1D3C">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林地整洁：养护范围内无大面积杂草丛生（杂草高度不超过</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厘米），无明显垃圾、废弃物堆积。</w:t>
      </w:r>
    </w:p>
    <w:p w14:paraId="4C5DC760">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具体养护管理标准可根据当地林业主管部门相关规定及甲方特殊要求进行调整。</w:t>
      </w:r>
    </w:p>
    <w:p w14:paraId="721A262F">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组成本合同的文件</w:t>
      </w:r>
    </w:p>
    <w:p w14:paraId="5D65746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1.协议书；</w:t>
      </w:r>
    </w:p>
    <w:p w14:paraId="6EEDCE2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2.中标通知书、投标文件、招标文件、澄清、招标补充文件；</w:t>
      </w:r>
    </w:p>
    <w:p w14:paraId="45FE2A3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3.相关服务建议书；</w:t>
      </w:r>
    </w:p>
    <w:p w14:paraId="2448D4D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本合同签订后，双方依法签订的补充协议也是本合同文件的组成部分。</w:t>
      </w:r>
    </w:p>
    <w:p w14:paraId="6D35F09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rPr>
        <w:t>养护管理费用及支付方式</w:t>
      </w:r>
    </w:p>
    <w:p w14:paraId="6AEE6FC2">
      <w:pPr>
        <w:spacing w:line="360" w:lineRule="auto"/>
        <w:ind w:firstLine="480" w:firstLineChars="200"/>
        <w:rPr>
          <w:rFonts w:hint="eastAsia"/>
          <w:color w:val="auto"/>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合同形式：总价合同</w:t>
      </w:r>
    </w:p>
    <w:p w14:paraId="3F858E6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总价合同为本次服务要求内容且验收合格的所有费用</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包括但不限于</w:t>
      </w:r>
      <w:r>
        <w:rPr>
          <w:rFonts w:hint="eastAsia" w:ascii="仿宋" w:hAnsi="仿宋" w:eastAsia="仿宋" w:cs="仿宋"/>
          <w:color w:val="auto"/>
          <w:kern w:val="0"/>
          <w:sz w:val="24"/>
          <w:szCs w:val="24"/>
          <w:lang w:val="en-US" w:eastAsia="zh-CN" w:bidi="ar"/>
        </w:rPr>
        <w:t>人工、材料、设备、运输、保险、税费等乙方开展养护管理工作所需的全部费用。</w:t>
      </w:r>
    </w:p>
    <w:p w14:paraId="6C90BBB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2.养护管理费用：本合同项下年度养护管理费用为人民币</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元（大写：     ）</w:t>
      </w:r>
    </w:p>
    <w:p w14:paraId="010DAB9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3.支付方式：</w:t>
      </w:r>
      <w:r>
        <w:rPr>
          <w:rFonts w:hint="eastAsia" w:ascii="仿宋" w:hAnsi="仿宋" w:eastAsia="仿宋" w:cs="仿宋"/>
          <w:color w:val="auto"/>
          <w:sz w:val="24"/>
          <w:szCs w:val="24"/>
          <w:lang w:val="en-US" w:eastAsia="zh-CN"/>
        </w:rPr>
        <w:t>合同签订后</w:t>
      </w:r>
      <w:r>
        <w:rPr>
          <w:rFonts w:hint="eastAsia" w:ascii="仿宋" w:hAnsi="仿宋" w:eastAsia="仿宋" w:cs="仿宋"/>
          <w:color w:val="auto"/>
          <w:sz w:val="24"/>
          <w:szCs w:val="24"/>
        </w:rPr>
        <w:t>，甲方向乙方支付合同总金额的</w:t>
      </w:r>
      <w:r>
        <w:rPr>
          <w:rFonts w:hint="eastAsia" w:ascii="仿宋" w:hAnsi="仿宋" w:eastAsia="仿宋" w:cs="仿宋"/>
          <w:color w:val="auto"/>
          <w:sz w:val="24"/>
          <w:szCs w:val="24"/>
          <w:lang w:val="en-US" w:eastAsia="zh-CN"/>
        </w:rPr>
        <w:t>40</w:t>
      </w:r>
      <w:r>
        <w:rPr>
          <w:rFonts w:hint="eastAsia" w:ascii="仿宋" w:hAnsi="仿宋" w:eastAsia="仿宋" w:cs="仿宋"/>
          <w:color w:val="auto"/>
          <w:sz w:val="24"/>
          <w:szCs w:val="24"/>
        </w:rPr>
        <w:t>%作为预付款，待乙方完成本项目的所有</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内容后，甲方向乙方支付合同总金额的4</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%，甲方组织</w:t>
      </w:r>
      <w:r>
        <w:rPr>
          <w:rFonts w:hint="eastAsia" w:ascii="仿宋" w:hAnsi="仿宋" w:eastAsia="仿宋" w:cs="仿宋"/>
          <w:color w:val="auto"/>
          <w:sz w:val="24"/>
          <w:szCs w:val="24"/>
          <w:lang w:val="en-US" w:eastAsia="zh-CN"/>
        </w:rPr>
        <w:t>考评</w:t>
      </w:r>
      <w:r>
        <w:rPr>
          <w:rFonts w:hint="eastAsia" w:ascii="仿宋" w:hAnsi="仿宋" w:eastAsia="仿宋" w:cs="仿宋"/>
          <w:color w:val="auto"/>
          <w:sz w:val="24"/>
          <w:szCs w:val="24"/>
        </w:rPr>
        <w:t>验收，验收合格后，乙方提交付款申请后，甲方向乙方支付合同总金额的20%</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甲方根据对乙方的考核标准支付相应比例的款项</w:t>
      </w:r>
      <w:r>
        <w:rPr>
          <w:rFonts w:hint="eastAsia" w:ascii="仿宋" w:hAnsi="仿宋" w:eastAsia="仿宋" w:cs="仿宋"/>
          <w:color w:val="auto"/>
          <w:sz w:val="24"/>
          <w:szCs w:val="24"/>
          <w:lang w:eastAsia="zh-CN"/>
        </w:rPr>
        <w:t>）。</w:t>
      </w:r>
    </w:p>
    <w:p w14:paraId="78E8AE4E">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4.如因养护范围扩大、养护标准提高等甲方原因导致乙方养护成本增加，双方应另行协商增加养护费用，签订补充协议。</w:t>
      </w:r>
    </w:p>
    <w:p w14:paraId="5CDD84F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五、</w:t>
      </w:r>
      <w:r>
        <w:rPr>
          <w:rFonts w:hint="eastAsia" w:ascii="仿宋" w:hAnsi="仿宋" w:eastAsia="仿宋" w:cs="仿宋"/>
          <w:color w:val="auto"/>
          <w:sz w:val="24"/>
          <w:szCs w:val="24"/>
        </w:rPr>
        <w:t>双方权利与义务</w:t>
      </w:r>
    </w:p>
    <w:p w14:paraId="17D9591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甲方权利与义务</w:t>
      </w:r>
    </w:p>
    <w:p w14:paraId="40861C71">
      <w:pPr>
        <w:keepNext w:val="0"/>
        <w:keepLines w:val="0"/>
        <w:widowControl/>
        <w:suppressLineNumbers w:val="0"/>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bCs/>
          <w:color w:val="auto"/>
          <w:kern w:val="0"/>
          <w:sz w:val="24"/>
          <w:szCs w:val="24"/>
          <w:lang w:val="en-US" w:eastAsia="zh-CN" w:bidi="ar"/>
        </w:rPr>
        <w:t>权利：</w:t>
      </w:r>
      <w:r>
        <w:rPr>
          <w:rFonts w:hint="eastAsia" w:ascii="仿宋" w:hAnsi="仿宋" w:eastAsia="仿宋" w:cs="仿宋"/>
          <w:color w:val="auto"/>
          <w:kern w:val="0"/>
          <w:sz w:val="24"/>
          <w:szCs w:val="24"/>
          <w:lang w:val="en-US" w:eastAsia="zh-CN" w:bidi="ar"/>
        </w:rPr>
        <w:t>对乙方养护管理工作进行监督、检查和考核；要求乙方按照合同约定及养护标准开展工作，对不符合要求的工作有权要求乙方限期整改；查阅乙方养护管理工作记录及相关资料；在乙方严重违约时，有权解除合同并要求承担违约责任。</w:t>
      </w:r>
    </w:p>
    <w:p w14:paraId="66650EA9">
      <w:pPr>
        <w:keepNext w:val="0"/>
        <w:keepLines w:val="0"/>
        <w:widowControl/>
        <w:suppressLineNumbers w:val="0"/>
        <w:spacing w:line="360" w:lineRule="auto"/>
        <w:ind w:firstLine="482" w:firstLineChars="200"/>
        <w:jc w:val="left"/>
        <w:rPr>
          <w:rFonts w:hint="eastAsia" w:ascii="仿宋" w:hAnsi="仿宋" w:eastAsia="仿宋" w:cs="仿宋"/>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t>义务：</w:t>
      </w:r>
      <w:r>
        <w:rPr>
          <w:rFonts w:hint="eastAsia" w:ascii="仿宋" w:hAnsi="仿宋" w:eastAsia="仿宋" w:cs="仿宋"/>
          <w:color w:val="auto"/>
          <w:kern w:val="0"/>
          <w:sz w:val="24"/>
          <w:szCs w:val="24"/>
          <w:lang w:val="en-US" w:eastAsia="zh-CN" w:bidi="ar"/>
        </w:rPr>
        <w:t>向乙方提供养护范围的详细图纸、林木清单、设施清单等相关资料；协助乙方办理养护管理所需的相关手续（如需要），协调乙方与当地政府、村民及相关部门的关系；按照合同约定及时支付养护管理费用；对乙方提出的合理养护建议及需要甲方配合的事项，及时予以回应和配合。</w:t>
      </w:r>
    </w:p>
    <w:p w14:paraId="2E23469E">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13.甲方项目负责人：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，身份证号：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p>
    <w:p w14:paraId="7D5A7EE3">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乙方权利与义务</w:t>
      </w:r>
    </w:p>
    <w:p w14:paraId="21A0D89A">
      <w:pPr>
        <w:keepNext w:val="0"/>
        <w:keepLines w:val="0"/>
        <w:widowControl/>
        <w:suppressLineNumbers w:val="0"/>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bCs/>
          <w:color w:val="auto"/>
          <w:kern w:val="0"/>
          <w:sz w:val="24"/>
          <w:szCs w:val="24"/>
          <w:lang w:val="en-US" w:eastAsia="zh-CN" w:bidi="ar"/>
        </w:rPr>
        <w:t>权利：</w:t>
      </w:r>
      <w:r>
        <w:rPr>
          <w:rFonts w:hint="eastAsia" w:ascii="仿宋" w:hAnsi="仿宋" w:eastAsia="仿宋" w:cs="仿宋"/>
          <w:color w:val="auto"/>
          <w:kern w:val="0"/>
          <w:sz w:val="24"/>
          <w:szCs w:val="24"/>
          <w:lang w:val="en-US" w:eastAsia="zh-CN" w:bidi="ar"/>
        </w:rPr>
        <w:t>按照合同约定开展养护管理工作，有权要求甲方提供必要的工作条件和相关资料；按照合同约定按时足额收取养护管理费用；在甲方未按约定支付费用时，有权要求甲方支付并追究违约责任；在养护工作中发现重大问题（如大面积病虫害、严重火情隐患、非法破坏行为等），有权要求甲方及相关部门及时处理。</w:t>
      </w:r>
    </w:p>
    <w:p w14:paraId="4A2E96AC">
      <w:pPr>
        <w:keepNext w:val="0"/>
        <w:keepLines w:val="0"/>
        <w:widowControl/>
        <w:suppressLineNumbers w:val="0"/>
        <w:spacing w:line="360" w:lineRule="auto"/>
        <w:ind w:firstLine="482" w:firstLineChars="200"/>
        <w:jc w:val="left"/>
        <w:rPr>
          <w:rFonts w:hint="eastAsia" w:ascii="仿宋" w:hAnsi="仿宋" w:eastAsia="仿宋" w:cs="仿宋"/>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t>义务：</w:t>
      </w:r>
      <w:r>
        <w:rPr>
          <w:rFonts w:hint="eastAsia" w:ascii="仿宋" w:hAnsi="仿宋" w:eastAsia="仿宋" w:cs="仿宋"/>
          <w:color w:val="auto"/>
          <w:kern w:val="0"/>
          <w:sz w:val="24"/>
          <w:szCs w:val="24"/>
          <w:lang w:val="en-US" w:eastAsia="zh-CN" w:bidi="ar"/>
        </w:rPr>
        <w:t>配备足够的专业技术人员、工具设备开展养护管理工作；建立健全养护管理工作制度，做好养护巡查记录、病虫害防治记录、设施维护记录等工作台账，每月向甲方提交一次养护工作月报，每年提交一次年度养护工作总结；严格遵守相关法律法规及养护标准，文明施工、安全作业，确保养护过程中不损害第三方合法权益，如因乙方原因造成第三方人身或财产损失，由乙方承担全部责任；接受甲方及林业主管部门的监督检查，对提出的整改要求及时落实；养护期间如发生森林火灾、大面积病虫害等突发事件，应第一时间采取应急措施并立即报告甲方及相关部门；合同期满或合同解除时，按照甲方要求办理养护范围内的资产、资料交接手续，确保交接内容完整、完好。</w:t>
      </w:r>
    </w:p>
    <w:p w14:paraId="6D8987D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乙方派出一名项目负责人/主管负责人和一名临时负责人，负责日常服务工作检查和服务管理工作及紧急情况的处理。</w:t>
      </w:r>
    </w:p>
    <w:p w14:paraId="746A470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项目负责人/主管负责人：</w:t>
      </w:r>
      <w:r>
        <w:rPr>
          <w:rFonts w:hint="eastAsia" w:ascii="仿宋" w:hAnsi="仿宋" w:eastAsia="仿宋" w:cs="仿宋"/>
          <w:color w:val="auto"/>
          <w:sz w:val="24"/>
          <w:szCs w:val="24"/>
          <w:u w:val="single"/>
        </w:rPr>
        <w:t>（姓名）</w:t>
      </w:r>
      <w:r>
        <w:rPr>
          <w:rFonts w:hint="eastAsia" w:ascii="仿宋" w:hAnsi="仿宋" w:eastAsia="仿宋" w:cs="仿宋"/>
          <w:color w:val="auto"/>
          <w:sz w:val="24"/>
          <w:szCs w:val="24"/>
        </w:rPr>
        <w:t>，身份证号：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w:t>
      </w:r>
    </w:p>
    <w:p w14:paraId="5D47C57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临时负责人：</w:t>
      </w:r>
      <w:r>
        <w:rPr>
          <w:rFonts w:hint="eastAsia" w:ascii="仿宋" w:hAnsi="仿宋" w:eastAsia="仿宋" w:cs="仿宋"/>
          <w:color w:val="auto"/>
          <w:sz w:val="24"/>
          <w:szCs w:val="24"/>
          <w:u w:val="single"/>
        </w:rPr>
        <w:t>（姓名）</w:t>
      </w:r>
      <w:r>
        <w:rPr>
          <w:rFonts w:hint="eastAsia" w:ascii="仿宋" w:hAnsi="仿宋" w:eastAsia="仿宋" w:cs="仿宋"/>
          <w:color w:val="auto"/>
          <w:sz w:val="24"/>
          <w:szCs w:val="24"/>
        </w:rPr>
        <w:t>，身份证号：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w:t>
      </w:r>
    </w:p>
    <w:p w14:paraId="4C656574">
      <w:pPr>
        <w:keepNext w:val="0"/>
        <w:keepLines w:val="0"/>
        <w:widowControl/>
        <w:suppressLineNumbers w:val="0"/>
        <w:spacing w:line="360" w:lineRule="auto"/>
        <w:ind w:firstLine="480" w:firstLineChars="200"/>
        <w:jc w:val="left"/>
        <w:rPr>
          <w:rFonts w:hint="eastAsia" w:ascii="仿宋" w:hAnsi="仿宋" w:eastAsia="仿宋" w:cs="仿宋"/>
          <w:color w:val="auto"/>
          <w:kern w:val="0"/>
          <w:sz w:val="24"/>
          <w:szCs w:val="24"/>
          <w:lang w:val="en-US" w:eastAsia="zh-CN" w:bidi="ar"/>
        </w:rPr>
      </w:pPr>
    </w:p>
    <w:p w14:paraId="4D800F2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default" w:ascii="仿宋" w:hAnsi="仿宋" w:eastAsia="仿宋" w:cs="仿宋"/>
          <w:color w:val="auto"/>
          <w:sz w:val="24"/>
          <w:szCs w:val="24"/>
          <w:lang w:val="en-US"/>
        </w:rPr>
      </w:pPr>
      <w:r>
        <w:rPr>
          <w:rFonts w:hint="eastAsia" w:ascii="仿宋" w:hAnsi="仿宋" w:eastAsia="仿宋" w:cs="仿宋"/>
          <w:color w:val="auto"/>
          <w:sz w:val="24"/>
          <w:szCs w:val="24"/>
          <w:lang w:val="en-US" w:eastAsia="zh-CN"/>
        </w:rPr>
        <w:t>六、养护管理考核</w:t>
      </w:r>
    </w:p>
    <w:p w14:paraId="11BF8B4E">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1.甲方每月对乙方养护管理工作进行一次日常考核，每年度进行一次综合考核，考核标准参照本合同第三条约定的养护管理标准及附件二执行。</w:t>
      </w:r>
    </w:p>
    <w:p w14:paraId="7356D61B">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考核合格的，甲方按合同约定支付养护费用；考核不合格的，甲方有权要求乙方限期整改，整改期间不支付相应养护费用；整改后仍不合格的，甲方有权扣除相应比例的养护费用（扣除比例根据不合格程度双方协商确定，最低不低于当期费用的</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%），情节严重的，甲方有权解除合同并要求乙方承担违约责任。</w:t>
      </w:r>
    </w:p>
    <w:p w14:paraId="3E3CE06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七、</w:t>
      </w:r>
      <w:r>
        <w:rPr>
          <w:rFonts w:hint="eastAsia" w:ascii="仿宋" w:hAnsi="仿宋" w:eastAsia="仿宋" w:cs="仿宋"/>
          <w:color w:val="auto"/>
          <w:sz w:val="24"/>
          <w:szCs w:val="24"/>
        </w:rPr>
        <w:t>违约责任</w:t>
      </w:r>
    </w:p>
    <w:p w14:paraId="222B00DA">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乙方未按合同约定及养护标准开展养护工作，导致林木成活率低于约定标准、发生病虫害灾害、森林火灾或设施损坏等情况的，乙方应承担修复、补植责任，所需费用由乙方承担；同时，甲方有权扣除相应养护费用，情节严重的，甲方有权解除合同并要求乙方支付合同总费用</w:t>
      </w:r>
      <w:r>
        <w:rPr>
          <w:rFonts w:hint="eastAsia" w:ascii="仿宋" w:hAnsi="仿宋" w:eastAsia="仿宋" w:cs="仿宋"/>
          <w:color w:val="auto"/>
          <w:kern w:val="0"/>
          <w:sz w:val="24"/>
          <w:szCs w:val="24"/>
          <w:u w:val="single"/>
          <w:lang w:val="en-US" w:eastAsia="zh-CN" w:bidi="ar"/>
        </w:rPr>
        <w:t xml:space="preserve">    10    </w:t>
      </w:r>
      <w:r>
        <w:rPr>
          <w:rFonts w:hint="eastAsia" w:ascii="仿宋" w:hAnsi="仿宋" w:eastAsia="仿宋" w:cs="仿宋"/>
          <w:color w:val="auto"/>
          <w:kern w:val="0"/>
          <w:sz w:val="24"/>
          <w:szCs w:val="24"/>
          <w:lang w:val="en-US" w:eastAsia="zh-CN" w:bidi="ar"/>
        </w:rPr>
        <w:t>%的违约金；如造成甲方其他损失的，乙方应予以赔偿。</w:t>
      </w:r>
    </w:p>
    <w:p w14:paraId="322EEE3D">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2.乙方擅自扩大养护范围、改变养护内容或转包、分包养护工作的，甲方有权解除合同，乙方应退还甲方已支付的全部费用，并支付合同总费用</w:t>
      </w:r>
      <w:r>
        <w:rPr>
          <w:rFonts w:hint="eastAsia" w:ascii="仿宋" w:hAnsi="仿宋" w:eastAsia="仿宋" w:cs="仿宋"/>
          <w:color w:val="auto"/>
          <w:kern w:val="0"/>
          <w:sz w:val="24"/>
          <w:szCs w:val="24"/>
          <w:u w:val="single"/>
          <w:lang w:val="en-US" w:eastAsia="zh-CN" w:bidi="ar"/>
        </w:rPr>
        <w:t xml:space="preserve">    15   </w:t>
      </w:r>
      <w:r>
        <w:rPr>
          <w:rFonts w:hint="eastAsia" w:ascii="仿宋" w:hAnsi="仿宋" w:eastAsia="仿宋" w:cs="仿宋"/>
          <w:color w:val="auto"/>
          <w:kern w:val="0"/>
          <w:sz w:val="24"/>
          <w:szCs w:val="24"/>
          <w:lang w:val="en-US" w:eastAsia="zh-CN" w:bidi="ar"/>
        </w:rPr>
        <w:t>%的违约金；如造成甲方损失的，乙方应予以赔偿。</w:t>
      </w:r>
    </w:p>
    <w:p w14:paraId="441E4283">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3.因不可抗力（如地震、洪水、台风等自然灾害）导致本合同无法履行或无法完全履行的，双方互不承担违约责任，但应在不可抗力发生后</w:t>
      </w:r>
      <w:r>
        <w:rPr>
          <w:rFonts w:hint="eastAsia" w:ascii="仿宋" w:hAnsi="仿宋" w:eastAsia="仿宋" w:cs="仿宋"/>
          <w:color w:val="auto"/>
          <w:kern w:val="0"/>
          <w:sz w:val="24"/>
          <w:szCs w:val="24"/>
          <w:u w:val="single"/>
          <w:lang w:val="en-US" w:eastAsia="zh-CN" w:bidi="ar"/>
        </w:rPr>
        <w:t xml:space="preserve">     3     </w:t>
      </w:r>
      <w:r>
        <w:rPr>
          <w:rFonts w:hint="eastAsia" w:ascii="仿宋" w:hAnsi="仿宋" w:eastAsia="仿宋" w:cs="仿宋"/>
          <w:color w:val="auto"/>
          <w:kern w:val="0"/>
          <w:sz w:val="24"/>
          <w:szCs w:val="24"/>
          <w:lang w:val="en-US" w:eastAsia="zh-CN" w:bidi="ar"/>
        </w:rPr>
        <w:t>日内及时通知对方，并在不可抗力消除后</w:t>
      </w:r>
      <w:r>
        <w:rPr>
          <w:rFonts w:hint="eastAsia" w:ascii="仿宋" w:hAnsi="仿宋" w:eastAsia="仿宋" w:cs="仿宋"/>
          <w:color w:val="auto"/>
          <w:kern w:val="0"/>
          <w:sz w:val="24"/>
          <w:szCs w:val="24"/>
          <w:u w:val="single"/>
          <w:lang w:val="en-US" w:eastAsia="zh-CN" w:bidi="ar"/>
        </w:rPr>
        <w:t xml:space="preserve">   15     </w:t>
      </w:r>
      <w:r>
        <w:rPr>
          <w:rFonts w:hint="eastAsia" w:ascii="仿宋" w:hAnsi="仿宋" w:eastAsia="仿宋" w:cs="仿宋"/>
          <w:color w:val="auto"/>
          <w:kern w:val="0"/>
          <w:sz w:val="24"/>
          <w:szCs w:val="24"/>
          <w:lang w:val="en-US" w:eastAsia="zh-CN" w:bidi="ar"/>
        </w:rPr>
        <w:t>日内协商后续处理事宜。</w:t>
      </w:r>
    </w:p>
    <w:p w14:paraId="5B64D66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八、</w:t>
      </w:r>
      <w:r>
        <w:rPr>
          <w:rFonts w:hint="eastAsia" w:ascii="仿宋" w:hAnsi="仿宋" w:eastAsia="仿宋" w:cs="仿宋"/>
          <w:color w:val="auto"/>
          <w:sz w:val="24"/>
          <w:szCs w:val="24"/>
        </w:rPr>
        <w:t>合同的变更、解除与终止</w:t>
      </w:r>
    </w:p>
    <w:p w14:paraId="516E7827">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1.本合同的变更、补充需经双方协商一致，并签订书面补充协议，补充协议与本合同具有同等法律效力。</w:t>
      </w:r>
    </w:p>
    <w:p w14:paraId="68CF5070">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2.发生本合同约定的解除情形或法律规定的解除情形时，有权解除合同的一方应书面通知对方，合同自通知到达对方时解除。</w:t>
      </w:r>
    </w:p>
    <w:p w14:paraId="76CA2EF8">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3.合同期满、双方协商一致解除合同或依法解除合同的，本合同终止。合同终止后，双方应在</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日内办理完毕养护资产、资料的交接手续，甲方应支付乙方已完成养护工作的相应费用（扣除应扣除的部分）。</w:t>
      </w:r>
    </w:p>
    <w:p w14:paraId="23F2426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rPr>
        <w:t>争议解决方式</w:t>
      </w:r>
    </w:p>
    <w:p w14:paraId="49A56F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（一）双方本着友好合作的态度，对本合同在履行过程中发生的争议或纠纷，由甲、乙双方当事人及时协商解决，协商不成的按下列第2种方式解决：</w:t>
      </w:r>
    </w:p>
    <w:p w14:paraId="390D950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1.提交西安仲裁委员会仲裁；</w:t>
      </w:r>
    </w:p>
    <w:p w14:paraId="34AE364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2.依法向甲方所在地有管辖权的人民法院诉讼解决。</w:t>
      </w:r>
    </w:p>
    <w:p w14:paraId="0916331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（二）本条款为独立条款，本合同的无效、变更、解除和终止均不影响本条款的效力。</w:t>
      </w:r>
    </w:p>
    <w:p w14:paraId="2BB7FCDC">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十</w:t>
      </w:r>
      <w:r>
        <w:rPr>
          <w:rFonts w:hint="eastAsia" w:ascii="仿宋" w:hAnsi="仿宋" w:eastAsia="仿宋" w:cs="仿宋"/>
          <w:b/>
          <w:bCs/>
          <w:color w:val="auto"/>
          <w:sz w:val="24"/>
          <w:szCs w:val="24"/>
        </w:rPr>
        <w:t>、验收</w:t>
      </w:r>
    </w:p>
    <w:p w14:paraId="1C6EEAF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（一）服务内容完成后先由乙方进行自检，自检合格后邀请甲方进行验收。</w:t>
      </w:r>
    </w:p>
    <w:p w14:paraId="12CCF4A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（二）乙方向甲方提交服务实施过程中的所有资料。以便甲方日后管理和维护。</w:t>
      </w:r>
    </w:p>
    <w:p w14:paraId="53B12D2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（三）验收依据：</w:t>
      </w:r>
    </w:p>
    <w:p w14:paraId="7C158C1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招标文件、投标文件、澄清表（函）</w:t>
      </w:r>
      <w:r>
        <w:rPr>
          <w:rFonts w:hint="eastAsia" w:ascii="仿宋" w:hAnsi="仿宋" w:eastAsia="仿宋" w:cs="仿宋"/>
          <w:color w:val="auto"/>
          <w:sz w:val="24"/>
          <w:szCs w:val="24"/>
          <w:lang w:eastAsia="zh-CN"/>
        </w:rPr>
        <w:t>、绩效考核表</w:t>
      </w:r>
      <w:r>
        <w:rPr>
          <w:rFonts w:hint="eastAsia" w:ascii="仿宋" w:hAnsi="仿宋" w:eastAsia="仿宋" w:cs="仿宋"/>
          <w:color w:val="auto"/>
          <w:sz w:val="24"/>
          <w:szCs w:val="24"/>
        </w:rPr>
        <w:t>；</w:t>
      </w:r>
    </w:p>
    <w:p w14:paraId="526B4E1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本合同及附件文本；</w:t>
      </w:r>
    </w:p>
    <w:p w14:paraId="73A9E44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国家相应的标准、规范。</w:t>
      </w:r>
    </w:p>
    <w:p w14:paraId="2F96100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十一、保密条款</w:t>
      </w:r>
    </w:p>
    <w:p w14:paraId="49B836D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6FEC15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A48EE7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（三）本条款为独立条款，本合同的无效、变更、解除和终止均不影响本条款的效力。</w:t>
      </w:r>
    </w:p>
    <w:p w14:paraId="02DB129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（四）双方拟定的其他条款。</w:t>
      </w:r>
    </w:p>
    <w:p w14:paraId="2AA8C0FD">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十二、合同变更与终止</w:t>
      </w:r>
    </w:p>
    <w:p w14:paraId="39B56AE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1.在合同的执行期内，双方均不得随意变更或解除合同。</w:t>
      </w:r>
    </w:p>
    <w:p w14:paraId="56AD6B8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2.如因项目需求情况发生变化，需要项目变更的，应双方协商后签订项目变更协议（如双方变更事项不能达成一致的，仍按原合同履行，否则视为违约）。</w:t>
      </w:r>
    </w:p>
    <w:p w14:paraId="7E6A710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本合同规定的履行期限届满，若招标方就本项目开展下一时段招标工作，在同等条件下，原提供服务的中标单位享有优先中标权；若招标方下一阶段不再进行招标，招标方可根据原中标单位在服务期内的服务质量、工作成效等综合情况，考虑与其续签合同，在此情形下，原中标单位亦具有优先续签权。</w:t>
      </w:r>
    </w:p>
    <w:p w14:paraId="7116CD6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4.因双方机构撤并、职能调整等原因，确需终止合同的，双方可协商终止合同。</w:t>
      </w:r>
    </w:p>
    <w:p w14:paraId="33F09A8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5.乙方应自觉遵守甲方工作纪律、规章制度，服从甲方管理。因乙方原因给甲方造成严重后果的，甲方可以单方面解除合同。</w:t>
      </w:r>
    </w:p>
    <w:p w14:paraId="1321506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、监督和管理</w:t>
      </w:r>
    </w:p>
    <w:p w14:paraId="76B5751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1.政府采购合同履行中，甲方需追加与合同标的相同服务的，在不改变合同其他条款的前提下，可以与乙方协商签订补充合同，但所有补充合同的采购金额不得超过原合同采购金额的百分之十。</w:t>
      </w:r>
    </w:p>
    <w:p w14:paraId="3615136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2.甲乙双方均应自觉配合有关监督管理部门对合同履行情况的监督检查，如实反映情况，提供有关资料；否则，将对有关单位、当事人按照有关规定予以处罚。</w:t>
      </w:r>
    </w:p>
    <w:p w14:paraId="1C662BC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十四、</w:t>
      </w:r>
      <w:r>
        <w:rPr>
          <w:rFonts w:hint="eastAsia" w:ascii="仿宋" w:hAnsi="仿宋" w:eastAsia="仿宋" w:cs="仿宋"/>
          <w:color w:val="auto"/>
          <w:sz w:val="24"/>
          <w:szCs w:val="24"/>
        </w:rPr>
        <w:t>其他</w:t>
      </w:r>
    </w:p>
    <w:p w14:paraId="4C85FEAA">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1.本合同未尽事宜，双方可另行协商签订补充协议。</w:t>
      </w:r>
    </w:p>
    <w:p w14:paraId="4861EBB2">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2.本合同一式</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份，甲方执</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份，乙方</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份，具有同等法律效力，自双方签字盖章之日起生效。</w:t>
      </w:r>
    </w:p>
    <w:p w14:paraId="48097A7F">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sectPr>
          <w:pgSz w:w="11906" w:h="16838"/>
          <w:pgMar w:top="1134" w:right="1134" w:bottom="1134" w:left="1134" w:header="851" w:footer="992" w:gutter="0"/>
          <w:cols w:space="425" w:num="1"/>
          <w:docGrid w:type="lines" w:linePitch="312" w:charSpace="0"/>
        </w:sectPr>
      </w:pPr>
    </w:p>
    <w:p w14:paraId="2A35BEFB">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(本页无正文，为签署页)</w:t>
      </w:r>
    </w:p>
    <w:p w14:paraId="7EB3F63B">
      <w:pPr>
        <w:spacing w:line="360" w:lineRule="auto"/>
        <w:rPr>
          <w:rFonts w:hint="eastAsia" w:ascii="仿宋" w:hAnsi="仿宋" w:eastAsia="仿宋" w:cs="仿宋"/>
          <w:color w:val="auto"/>
          <w:sz w:val="24"/>
          <w:szCs w:val="24"/>
        </w:rPr>
      </w:pPr>
    </w:p>
    <w:tbl>
      <w:tblPr>
        <w:tblStyle w:val="17"/>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693"/>
        <w:gridCol w:w="4949"/>
      </w:tblGrid>
      <w:tr w14:paraId="252E18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2433" w:type="pct"/>
            <w:vAlign w:val="top"/>
          </w:tcPr>
          <w:p w14:paraId="05374889">
            <w:pPr>
              <w:pStyle w:val="16"/>
              <w:spacing w:before="135" w:line="222" w:lineRule="auto"/>
              <w:ind w:left="1944"/>
              <w:rPr>
                <w:color w:val="auto"/>
              </w:rPr>
            </w:pPr>
            <w:r>
              <w:rPr>
                <w:b/>
                <w:bCs/>
                <w:color w:val="auto"/>
                <w:spacing w:val="-27"/>
              </w:rPr>
              <w:t>甲方</w:t>
            </w:r>
          </w:p>
        </w:tc>
        <w:tc>
          <w:tcPr>
            <w:tcW w:w="2566" w:type="pct"/>
            <w:vAlign w:val="top"/>
          </w:tcPr>
          <w:p w14:paraId="6F980025">
            <w:pPr>
              <w:pStyle w:val="16"/>
              <w:spacing w:before="135" w:line="224" w:lineRule="auto"/>
              <w:ind w:left="2044"/>
              <w:rPr>
                <w:color w:val="auto"/>
              </w:rPr>
            </w:pPr>
            <w:r>
              <w:rPr>
                <w:b/>
                <w:bCs/>
                <w:color w:val="auto"/>
                <w:spacing w:val="-19"/>
              </w:rPr>
              <w:t>乙方</w:t>
            </w:r>
          </w:p>
        </w:tc>
      </w:tr>
      <w:tr w14:paraId="332D2B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2433" w:type="pct"/>
            <w:vAlign w:val="top"/>
          </w:tcPr>
          <w:p w14:paraId="495B52D6">
            <w:pPr>
              <w:pStyle w:val="16"/>
              <w:spacing w:before="48" w:line="221" w:lineRule="auto"/>
              <w:ind w:left="27"/>
              <w:rPr>
                <w:color w:val="auto"/>
              </w:rPr>
            </w:pPr>
            <w:r>
              <w:rPr>
                <w:color w:val="auto"/>
                <w:spacing w:val="-3"/>
              </w:rPr>
              <w:t>采购人名称：</w:t>
            </w:r>
          </w:p>
          <w:p w14:paraId="53C8466D">
            <w:pPr>
              <w:spacing w:line="282" w:lineRule="auto"/>
              <w:rPr>
                <w:rFonts w:ascii="Arial"/>
                <w:color w:val="auto"/>
                <w:sz w:val="21"/>
              </w:rPr>
            </w:pPr>
          </w:p>
          <w:p w14:paraId="13886C15">
            <w:pPr>
              <w:spacing w:line="283" w:lineRule="auto"/>
              <w:rPr>
                <w:rFonts w:ascii="Arial"/>
                <w:color w:val="auto"/>
                <w:sz w:val="21"/>
              </w:rPr>
            </w:pPr>
          </w:p>
          <w:p w14:paraId="6E7B30B7">
            <w:pPr>
              <w:pStyle w:val="16"/>
              <w:spacing w:before="78" w:line="220" w:lineRule="auto"/>
              <w:ind w:left="510"/>
              <w:rPr>
                <w:color w:val="auto"/>
              </w:rPr>
            </w:pPr>
            <w:r>
              <w:rPr>
                <w:b/>
                <w:bCs/>
                <w:color w:val="auto"/>
                <w:spacing w:val="-5"/>
              </w:rPr>
              <w:t>（请填写具体名称）</w:t>
            </w:r>
          </w:p>
          <w:p w14:paraId="3D911581">
            <w:pPr>
              <w:pStyle w:val="16"/>
              <w:spacing w:before="179" w:line="222" w:lineRule="auto"/>
              <w:ind w:left="1053"/>
              <w:rPr>
                <w:color w:val="auto"/>
              </w:rPr>
            </w:pPr>
            <w:r>
              <w:rPr>
                <w:color w:val="auto"/>
                <w:spacing w:val="-6"/>
              </w:rPr>
              <w:t>（盖章）</w:t>
            </w:r>
          </w:p>
        </w:tc>
        <w:tc>
          <w:tcPr>
            <w:tcW w:w="2566" w:type="pct"/>
            <w:vAlign w:val="top"/>
          </w:tcPr>
          <w:p w14:paraId="4F81EEB5">
            <w:pPr>
              <w:pStyle w:val="16"/>
              <w:spacing w:before="48" w:line="221" w:lineRule="auto"/>
              <w:ind w:left="54"/>
              <w:rPr>
                <w:color w:val="auto"/>
              </w:rPr>
            </w:pPr>
            <w:r>
              <w:rPr>
                <w:color w:val="auto"/>
                <w:spacing w:val="-8"/>
              </w:rPr>
              <w:t>中标人全称：</w:t>
            </w:r>
          </w:p>
          <w:p w14:paraId="3B4C24D8">
            <w:pPr>
              <w:spacing w:line="282" w:lineRule="auto"/>
              <w:rPr>
                <w:rFonts w:ascii="Arial"/>
                <w:color w:val="auto"/>
                <w:sz w:val="21"/>
              </w:rPr>
            </w:pPr>
          </w:p>
          <w:p w14:paraId="5994CD94">
            <w:pPr>
              <w:spacing w:line="283" w:lineRule="auto"/>
              <w:rPr>
                <w:rFonts w:ascii="Arial"/>
                <w:color w:val="auto"/>
                <w:sz w:val="21"/>
              </w:rPr>
            </w:pPr>
          </w:p>
          <w:p w14:paraId="3F58703B">
            <w:pPr>
              <w:pStyle w:val="16"/>
              <w:spacing w:before="78" w:line="220" w:lineRule="auto"/>
              <w:ind w:left="508"/>
              <w:rPr>
                <w:color w:val="auto"/>
              </w:rPr>
            </w:pPr>
            <w:r>
              <w:rPr>
                <w:b/>
                <w:bCs/>
                <w:color w:val="auto"/>
                <w:spacing w:val="-5"/>
              </w:rPr>
              <w:t>（请填写具体名称）</w:t>
            </w:r>
          </w:p>
          <w:p w14:paraId="6AB8A9F1">
            <w:pPr>
              <w:pStyle w:val="16"/>
              <w:spacing w:before="179" w:line="222" w:lineRule="auto"/>
              <w:ind w:left="1924"/>
              <w:rPr>
                <w:color w:val="auto"/>
              </w:rPr>
            </w:pPr>
            <w:r>
              <w:rPr>
                <w:color w:val="auto"/>
                <w:spacing w:val="-6"/>
              </w:rPr>
              <w:t>（盖章）</w:t>
            </w:r>
          </w:p>
        </w:tc>
      </w:tr>
      <w:tr w14:paraId="2BBDDC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trPr>
        <w:tc>
          <w:tcPr>
            <w:tcW w:w="2433" w:type="pct"/>
            <w:vAlign w:val="top"/>
          </w:tcPr>
          <w:p w14:paraId="7D01776F">
            <w:pPr>
              <w:pStyle w:val="16"/>
              <w:spacing w:before="277" w:line="232" w:lineRule="auto"/>
              <w:ind w:left="26"/>
              <w:rPr>
                <w:color w:val="auto"/>
              </w:rPr>
            </w:pPr>
            <w:r>
              <w:rPr>
                <w:color w:val="auto"/>
                <w:spacing w:val="-6"/>
              </w:rPr>
              <w:t>地址：</w:t>
            </w:r>
          </w:p>
        </w:tc>
        <w:tc>
          <w:tcPr>
            <w:tcW w:w="2566" w:type="pct"/>
            <w:vAlign w:val="top"/>
          </w:tcPr>
          <w:p w14:paraId="45997C6F">
            <w:pPr>
              <w:pStyle w:val="16"/>
              <w:spacing w:before="277" w:line="232" w:lineRule="auto"/>
              <w:ind w:left="24"/>
              <w:rPr>
                <w:color w:val="auto"/>
              </w:rPr>
            </w:pPr>
            <w:r>
              <w:rPr>
                <w:color w:val="auto"/>
                <w:spacing w:val="-6"/>
              </w:rPr>
              <w:t>地址：</w:t>
            </w:r>
          </w:p>
        </w:tc>
      </w:tr>
      <w:tr w14:paraId="033CB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33" w:type="pct"/>
            <w:vAlign w:val="top"/>
          </w:tcPr>
          <w:p w14:paraId="50FDF048">
            <w:pPr>
              <w:pStyle w:val="16"/>
              <w:spacing w:before="123" w:line="222" w:lineRule="auto"/>
              <w:ind w:left="43"/>
              <w:rPr>
                <w:color w:val="auto"/>
              </w:rPr>
            </w:pPr>
            <w:r>
              <w:rPr>
                <w:color w:val="auto"/>
                <w:spacing w:val="-12"/>
              </w:rPr>
              <w:t>邮编：</w:t>
            </w:r>
          </w:p>
        </w:tc>
        <w:tc>
          <w:tcPr>
            <w:tcW w:w="2566" w:type="pct"/>
            <w:vAlign w:val="top"/>
          </w:tcPr>
          <w:p w14:paraId="13C78442">
            <w:pPr>
              <w:pStyle w:val="16"/>
              <w:spacing w:before="123" w:line="222" w:lineRule="auto"/>
              <w:ind w:left="41"/>
              <w:rPr>
                <w:color w:val="auto"/>
              </w:rPr>
            </w:pPr>
            <w:r>
              <w:rPr>
                <w:color w:val="auto"/>
                <w:spacing w:val="-12"/>
              </w:rPr>
              <w:t>邮编：</w:t>
            </w:r>
          </w:p>
        </w:tc>
      </w:tr>
      <w:tr w14:paraId="1A9BA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trPr>
        <w:tc>
          <w:tcPr>
            <w:tcW w:w="2433" w:type="pct"/>
            <w:vAlign w:val="top"/>
          </w:tcPr>
          <w:p w14:paraId="07EFF8A2">
            <w:pPr>
              <w:pStyle w:val="16"/>
              <w:spacing w:before="39" w:line="223" w:lineRule="auto"/>
              <w:ind w:left="33"/>
              <w:rPr>
                <w:color w:val="auto"/>
              </w:rPr>
            </w:pPr>
            <w:r>
              <w:rPr>
                <w:color w:val="auto"/>
                <w:spacing w:val="-2"/>
              </w:rPr>
              <w:t>法定代表人或委托代理人：</w:t>
            </w:r>
          </w:p>
          <w:p w14:paraId="4E68D0B7">
            <w:pPr>
              <w:pStyle w:val="16"/>
              <w:spacing w:before="176" w:line="222" w:lineRule="auto"/>
              <w:ind w:left="1677"/>
              <w:rPr>
                <w:color w:val="auto"/>
              </w:rPr>
            </w:pPr>
            <w:r>
              <w:rPr>
                <w:color w:val="auto"/>
                <w:spacing w:val="-6"/>
              </w:rPr>
              <w:t>（签章）</w:t>
            </w:r>
          </w:p>
        </w:tc>
        <w:tc>
          <w:tcPr>
            <w:tcW w:w="2566" w:type="pct"/>
            <w:vAlign w:val="top"/>
          </w:tcPr>
          <w:p w14:paraId="061F4D8E">
            <w:pPr>
              <w:pStyle w:val="16"/>
              <w:spacing w:before="39" w:line="223" w:lineRule="auto"/>
              <w:ind w:left="30"/>
              <w:rPr>
                <w:color w:val="auto"/>
              </w:rPr>
            </w:pPr>
            <w:r>
              <w:rPr>
                <w:color w:val="auto"/>
                <w:spacing w:val="-2"/>
              </w:rPr>
              <w:t>法定代表人或委托代理人：</w:t>
            </w:r>
          </w:p>
          <w:p w14:paraId="2333D573">
            <w:pPr>
              <w:pStyle w:val="16"/>
              <w:spacing w:before="176" w:line="222" w:lineRule="auto"/>
              <w:ind w:left="1792"/>
              <w:rPr>
                <w:color w:val="auto"/>
              </w:rPr>
            </w:pPr>
            <w:r>
              <w:rPr>
                <w:color w:val="auto"/>
                <w:spacing w:val="-6"/>
              </w:rPr>
              <w:t>（签章）</w:t>
            </w:r>
          </w:p>
        </w:tc>
      </w:tr>
      <w:tr w14:paraId="6EFC19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33" w:type="pct"/>
            <w:vAlign w:val="top"/>
          </w:tcPr>
          <w:p w14:paraId="0E95EB2C">
            <w:pPr>
              <w:pStyle w:val="16"/>
              <w:spacing w:before="122" w:line="223" w:lineRule="auto"/>
              <w:ind w:left="52"/>
              <w:rPr>
                <w:color w:val="auto"/>
              </w:rPr>
            </w:pPr>
            <w:r>
              <w:rPr>
                <w:color w:val="auto"/>
                <w:spacing w:val="-15"/>
              </w:rPr>
              <w:t>电话：</w:t>
            </w:r>
          </w:p>
        </w:tc>
        <w:tc>
          <w:tcPr>
            <w:tcW w:w="2566" w:type="pct"/>
            <w:vAlign w:val="top"/>
          </w:tcPr>
          <w:p w14:paraId="076F48FE">
            <w:pPr>
              <w:pStyle w:val="16"/>
              <w:spacing w:before="122" w:line="223" w:lineRule="auto"/>
              <w:ind w:left="49"/>
              <w:rPr>
                <w:color w:val="auto"/>
              </w:rPr>
            </w:pPr>
            <w:r>
              <w:rPr>
                <w:color w:val="auto"/>
                <w:spacing w:val="-15"/>
              </w:rPr>
              <w:t>电话：</w:t>
            </w:r>
          </w:p>
        </w:tc>
      </w:tr>
      <w:tr w14:paraId="10780E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2433" w:type="pct"/>
            <w:vAlign w:val="top"/>
          </w:tcPr>
          <w:p w14:paraId="23ADA9A5">
            <w:pPr>
              <w:pStyle w:val="16"/>
              <w:spacing w:before="124" w:line="223" w:lineRule="auto"/>
              <w:ind w:left="28"/>
              <w:rPr>
                <w:color w:val="auto"/>
              </w:rPr>
            </w:pPr>
            <w:r>
              <w:rPr>
                <w:color w:val="auto"/>
                <w:spacing w:val="-7"/>
              </w:rPr>
              <w:t>传真：</w:t>
            </w:r>
          </w:p>
        </w:tc>
        <w:tc>
          <w:tcPr>
            <w:tcW w:w="2566" w:type="pct"/>
            <w:vAlign w:val="top"/>
          </w:tcPr>
          <w:p w14:paraId="01108E7E">
            <w:pPr>
              <w:pStyle w:val="16"/>
              <w:spacing w:before="124" w:line="223" w:lineRule="auto"/>
              <w:ind w:left="26"/>
              <w:rPr>
                <w:color w:val="auto"/>
              </w:rPr>
            </w:pPr>
            <w:r>
              <w:rPr>
                <w:color w:val="auto"/>
                <w:spacing w:val="-7"/>
              </w:rPr>
              <w:t>传真：</w:t>
            </w:r>
          </w:p>
        </w:tc>
      </w:tr>
      <w:tr w14:paraId="0EC4D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33" w:type="pct"/>
            <w:vAlign w:val="top"/>
          </w:tcPr>
          <w:p w14:paraId="6AB65FB2">
            <w:pPr>
              <w:pStyle w:val="16"/>
              <w:spacing w:before="125" w:line="221" w:lineRule="auto"/>
              <w:ind w:left="25"/>
              <w:rPr>
                <w:color w:val="auto"/>
              </w:rPr>
            </w:pPr>
            <w:r>
              <w:rPr>
                <w:color w:val="auto"/>
                <w:spacing w:val="-4"/>
              </w:rPr>
              <w:t>开户银行：</w:t>
            </w:r>
          </w:p>
        </w:tc>
        <w:tc>
          <w:tcPr>
            <w:tcW w:w="2566" w:type="pct"/>
            <w:vAlign w:val="top"/>
          </w:tcPr>
          <w:p w14:paraId="3EB01DD8">
            <w:pPr>
              <w:pStyle w:val="16"/>
              <w:spacing w:before="125" w:line="221" w:lineRule="auto"/>
              <w:ind w:left="23"/>
              <w:rPr>
                <w:color w:val="auto"/>
              </w:rPr>
            </w:pPr>
            <w:r>
              <w:rPr>
                <w:color w:val="auto"/>
                <w:spacing w:val="-4"/>
              </w:rPr>
              <w:t>开户银行：</w:t>
            </w:r>
          </w:p>
        </w:tc>
      </w:tr>
      <w:tr w14:paraId="4E6C65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2433" w:type="pct"/>
            <w:vAlign w:val="top"/>
          </w:tcPr>
          <w:p w14:paraId="587C81AE">
            <w:pPr>
              <w:pStyle w:val="16"/>
              <w:spacing w:before="40" w:line="224" w:lineRule="auto"/>
              <w:ind w:left="23"/>
              <w:rPr>
                <w:color w:val="auto"/>
              </w:rPr>
            </w:pPr>
            <w:r>
              <w:rPr>
                <w:color w:val="auto"/>
                <w:spacing w:val="-5"/>
              </w:rPr>
              <w:t>账号：</w:t>
            </w:r>
          </w:p>
        </w:tc>
        <w:tc>
          <w:tcPr>
            <w:tcW w:w="2566" w:type="pct"/>
            <w:vAlign w:val="top"/>
          </w:tcPr>
          <w:p w14:paraId="2168722D">
            <w:pPr>
              <w:pStyle w:val="16"/>
              <w:spacing w:before="122" w:line="224" w:lineRule="auto"/>
              <w:ind w:left="20"/>
              <w:rPr>
                <w:color w:val="auto"/>
              </w:rPr>
            </w:pPr>
            <w:r>
              <w:rPr>
                <w:color w:val="auto"/>
                <w:spacing w:val="-5"/>
              </w:rPr>
              <w:t>账号：</w:t>
            </w:r>
          </w:p>
        </w:tc>
      </w:tr>
      <w:tr w14:paraId="0D2DA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2433" w:type="pct"/>
            <w:vAlign w:val="top"/>
          </w:tcPr>
          <w:p w14:paraId="5855C053">
            <w:pPr>
              <w:pStyle w:val="16"/>
              <w:spacing w:before="125" w:line="221" w:lineRule="auto"/>
              <w:ind w:left="25"/>
              <w:rPr>
                <w:color w:val="auto"/>
              </w:rPr>
            </w:pPr>
            <w:r>
              <w:rPr>
                <w:rFonts w:hint="eastAsia"/>
                <w:color w:val="auto"/>
                <w:spacing w:val="-4"/>
                <w:lang w:val="en-US" w:eastAsia="zh-CN"/>
              </w:rPr>
              <w:t xml:space="preserve">日期：   </w:t>
            </w:r>
            <w:r>
              <w:rPr>
                <w:color w:val="auto"/>
                <w:spacing w:val="-4"/>
              </w:rPr>
              <w:t>年</w:t>
            </w:r>
            <w:r>
              <w:rPr>
                <w:rFonts w:hint="eastAsia"/>
                <w:color w:val="auto"/>
                <w:spacing w:val="-4"/>
                <w:lang w:val="en-US" w:eastAsia="zh-CN"/>
              </w:rPr>
              <w:t xml:space="preserve">   </w:t>
            </w:r>
            <w:r>
              <w:rPr>
                <w:color w:val="auto"/>
                <w:spacing w:val="-4"/>
              </w:rPr>
              <w:t>月</w:t>
            </w:r>
            <w:r>
              <w:rPr>
                <w:rFonts w:hint="eastAsia"/>
                <w:color w:val="auto"/>
                <w:spacing w:val="-4"/>
                <w:lang w:val="en-US" w:eastAsia="zh-CN"/>
              </w:rPr>
              <w:t xml:space="preserve">   </w:t>
            </w:r>
            <w:r>
              <w:rPr>
                <w:color w:val="auto"/>
                <w:spacing w:val="-4"/>
              </w:rPr>
              <w:t>日</w:t>
            </w:r>
          </w:p>
        </w:tc>
        <w:tc>
          <w:tcPr>
            <w:tcW w:w="2566" w:type="pct"/>
            <w:vAlign w:val="top"/>
          </w:tcPr>
          <w:p w14:paraId="27AB5E42">
            <w:pPr>
              <w:pStyle w:val="16"/>
              <w:spacing w:before="125" w:line="221" w:lineRule="auto"/>
              <w:ind w:left="25"/>
              <w:rPr>
                <w:color w:val="auto"/>
              </w:rPr>
            </w:pPr>
            <w:r>
              <w:rPr>
                <w:color w:val="auto"/>
                <w:spacing w:val="-4"/>
              </w:rPr>
              <w:t>日期：</w:t>
            </w:r>
            <w:r>
              <w:rPr>
                <w:rFonts w:hint="eastAsia"/>
                <w:color w:val="auto"/>
                <w:spacing w:val="-4"/>
                <w:lang w:val="en-US" w:eastAsia="zh-CN"/>
              </w:rPr>
              <w:t xml:space="preserve">   </w:t>
            </w:r>
            <w:r>
              <w:rPr>
                <w:color w:val="auto"/>
                <w:spacing w:val="-4"/>
              </w:rPr>
              <w:t>年</w:t>
            </w:r>
            <w:r>
              <w:rPr>
                <w:rFonts w:hint="eastAsia"/>
                <w:color w:val="auto"/>
                <w:spacing w:val="-4"/>
                <w:lang w:val="en-US" w:eastAsia="zh-CN"/>
              </w:rPr>
              <w:t xml:space="preserve">   </w:t>
            </w:r>
            <w:r>
              <w:rPr>
                <w:color w:val="auto"/>
                <w:spacing w:val="-4"/>
              </w:rPr>
              <w:t>月</w:t>
            </w:r>
            <w:r>
              <w:rPr>
                <w:rFonts w:hint="eastAsia"/>
                <w:color w:val="auto"/>
                <w:spacing w:val="-4"/>
                <w:lang w:val="en-US" w:eastAsia="zh-CN"/>
              </w:rPr>
              <w:t xml:space="preserve">    </w:t>
            </w:r>
            <w:r>
              <w:rPr>
                <w:color w:val="auto"/>
                <w:spacing w:val="-4"/>
              </w:rPr>
              <w:t>日</w:t>
            </w:r>
          </w:p>
        </w:tc>
      </w:tr>
    </w:tbl>
    <w:p w14:paraId="25A3DE22">
      <w:pPr>
        <w:rPr>
          <w:color w:val="auto"/>
        </w:rPr>
        <w:sectPr>
          <w:pgSz w:w="11906" w:h="16838"/>
          <w:pgMar w:top="1134" w:right="1134" w:bottom="1134" w:left="1134" w:header="851" w:footer="992" w:gutter="0"/>
          <w:cols w:space="425" w:num="1"/>
          <w:docGrid w:type="lines" w:linePitch="312" w:charSpace="0"/>
        </w:sectPr>
      </w:pPr>
    </w:p>
    <w:p w14:paraId="2125632B">
      <w:pPr>
        <w:pStyle w:val="5"/>
        <w:jc w:val="center"/>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rPr>
        <w:t>城北防护（康养）林养护管理项目绩效考核表</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参考文本</w:t>
      </w:r>
      <w:r>
        <w:rPr>
          <w:rFonts w:hint="eastAsia" w:ascii="仿宋" w:hAnsi="仿宋" w:eastAsia="仿宋" w:cs="仿宋"/>
          <w:b/>
          <w:bCs/>
          <w:color w:val="auto"/>
          <w:sz w:val="28"/>
          <w:szCs w:val="28"/>
          <w:lang w:eastAsia="zh-CN"/>
        </w:rPr>
        <w:t>）</w:t>
      </w:r>
    </w:p>
    <w:p w14:paraId="2279FE12">
      <w:pPr>
        <w:pStyle w:val="5"/>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考核主体：</w:t>
      </w:r>
      <w:r>
        <w:rPr>
          <w:rFonts w:hint="eastAsia" w:ascii="仿宋" w:hAnsi="仿宋" w:eastAsia="仿宋" w:cs="仿宋"/>
          <w:color w:val="auto"/>
          <w:sz w:val="24"/>
          <w:szCs w:val="24"/>
          <w:u w:val="single"/>
          <w:lang w:val="en-US" w:eastAsia="zh-CN"/>
        </w:rPr>
        <w:t>渭南市蒲城县林业局</w:t>
      </w:r>
    </w:p>
    <w:p w14:paraId="5260BB2A">
      <w:pPr>
        <w:pStyle w:val="5"/>
        <w:rPr>
          <w:rFonts w:hint="default" w:ascii="仿宋" w:hAnsi="仿宋" w:eastAsia="仿宋" w:cs="仿宋"/>
          <w:color w:val="auto"/>
          <w:sz w:val="24"/>
          <w:szCs w:val="24"/>
          <w:u w:val="single"/>
          <w:lang w:val="en-US"/>
        </w:rPr>
      </w:pPr>
      <w:r>
        <w:rPr>
          <w:rFonts w:hint="eastAsia" w:ascii="仿宋" w:hAnsi="仿宋" w:eastAsia="仿宋" w:cs="仿宋"/>
          <w:b/>
          <w:bCs/>
          <w:color w:val="auto"/>
          <w:sz w:val="24"/>
          <w:szCs w:val="24"/>
          <w:lang w:val="en-US" w:eastAsia="zh-CN"/>
        </w:rPr>
        <w:t>被考核单位：</w:t>
      </w:r>
      <w:r>
        <w:rPr>
          <w:rFonts w:hint="eastAsia" w:ascii="仿宋" w:hAnsi="仿宋" w:eastAsia="仿宋" w:cs="仿宋"/>
          <w:color w:val="auto"/>
          <w:sz w:val="24"/>
          <w:szCs w:val="24"/>
          <w:u w:val="single"/>
          <w:lang w:val="en-US" w:eastAsia="zh-CN"/>
        </w:rPr>
        <w:t xml:space="preserve">                </w:t>
      </w:r>
    </w:p>
    <w:p w14:paraId="3F344488">
      <w:pPr>
        <w:pStyle w:val="5"/>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考核标段：</w:t>
      </w:r>
      <w:r>
        <w:rPr>
          <w:rFonts w:hint="eastAsia" w:ascii="仿宋" w:hAnsi="仿宋" w:eastAsia="仿宋" w:cs="仿宋"/>
          <w:color w:val="auto"/>
          <w:sz w:val="24"/>
          <w:szCs w:val="24"/>
          <w:lang w:val="en-US" w:eastAsia="zh-CN"/>
        </w:rPr>
        <w:t xml:space="preserve">□东区 □西区 </w:t>
      </w:r>
    </w:p>
    <w:p w14:paraId="669B3524">
      <w:pPr>
        <w:pStyle w:val="5"/>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考核周期：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日—</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日</w:t>
      </w:r>
    </w:p>
    <w:p w14:paraId="0C08D2FF">
      <w:pPr>
        <w:rPr>
          <w:rFonts w:hint="eastAsia" w:ascii="仿宋" w:hAnsi="仿宋" w:eastAsia="仿宋" w:cs="仿宋"/>
          <w:color w:val="auto"/>
        </w:rPr>
      </w:pPr>
    </w:p>
    <w:tbl>
      <w:tblPr>
        <w:tblStyle w:val="8"/>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75"/>
        <w:gridCol w:w="1538"/>
        <w:gridCol w:w="7350"/>
        <w:gridCol w:w="1200"/>
        <w:gridCol w:w="1287"/>
        <w:gridCol w:w="988"/>
        <w:gridCol w:w="1646"/>
      </w:tblGrid>
      <w:tr w14:paraId="61EE7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32" w:hRule="atLeast"/>
        </w:trPr>
        <w:tc>
          <w:tcPr>
            <w:tcW w:w="262" w:type="pct"/>
            <w:shd w:val="clear" w:color="auto" w:fill="auto"/>
            <w:tcMar>
              <w:top w:w="120" w:type="dxa"/>
              <w:left w:w="120" w:type="dxa"/>
              <w:bottom w:w="120" w:type="dxa"/>
              <w:right w:w="120" w:type="dxa"/>
            </w:tcMar>
            <w:vAlign w:val="center"/>
          </w:tcPr>
          <w:p w14:paraId="7390CB0F">
            <w:pPr>
              <w:jc w:val="center"/>
              <w:rPr>
                <w:rFonts w:hint="eastAsia"/>
                <w:b/>
                <w:bCs/>
                <w:color w:val="auto"/>
                <w:lang w:val="en-US" w:eastAsia="zh-CN"/>
              </w:rPr>
            </w:pPr>
            <w:r>
              <w:rPr>
                <w:rFonts w:hint="eastAsia"/>
                <w:b/>
                <w:bCs/>
                <w:color w:val="auto"/>
              </w:rPr>
              <w:t>序号</w:t>
            </w:r>
          </w:p>
        </w:tc>
        <w:tc>
          <w:tcPr>
            <w:tcW w:w="520" w:type="pct"/>
            <w:shd w:val="clear" w:color="auto" w:fill="auto"/>
            <w:tcMar>
              <w:top w:w="120" w:type="dxa"/>
              <w:left w:w="120" w:type="dxa"/>
              <w:bottom w:w="120" w:type="dxa"/>
              <w:right w:w="120" w:type="dxa"/>
            </w:tcMar>
            <w:vAlign w:val="center"/>
          </w:tcPr>
          <w:p w14:paraId="3BCCDF34">
            <w:pPr>
              <w:jc w:val="center"/>
              <w:rPr>
                <w:rFonts w:hint="eastAsia"/>
                <w:b/>
                <w:bCs/>
                <w:color w:val="auto"/>
              </w:rPr>
            </w:pPr>
            <w:r>
              <w:rPr>
                <w:rFonts w:hint="eastAsia"/>
                <w:b/>
                <w:bCs/>
                <w:color w:val="auto"/>
              </w:rPr>
              <w:t>考核</w:t>
            </w:r>
          </w:p>
          <w:p w14:paraId="151F07D4">
            <w:pPr>
              <w:jc w:val="center"/>
              <w:rPr>
                <w:rFonts w:hint="eastAsia"/>
                <w:b/>
                <w:bCs/>
                <w:color w:val="auto"/>
                <w:lang w:val="en-US" w:eastAsia="zh-CN"/>
              </w:rPr>
            </w:pPr>
            <w:r>
              <w:rPr>
                <w:rFonts w:hint="eastAsia"/>
                <w:b/>
                <w:bCs/>
                <w:color w:val="auto"/>
              </w:rPr>
              <w:t>大类</w:t>
            </w:r>
          </w:p>
        </w:tc>
        <w:tc>
          <w:tcPr>
            <w:tcW w:w="2485" w:type="pct"/>
            <w:shd w:val="clear" w:color="auto" w:fill="auto"/>
            <w:tcMar>
              <w:top w:w="120" w:type="dxa"/>
              <w:left w:w="120" w:type="dxa"/>
              <w:bottom w:w="120" w:type="dxa"/>
              <w:right w:w="120" w:type="dxa"/>
            </w:tcMar>
            <w:vAlign w:val="center"/>
          </w:tcPr>
          <w:p w14:paraId="3E1C83D8">
            <w:pPr>
              <w:jc w:val="center"/>
              <w:rPr>
                <w:rFonts w:hint="eastAsia"/>
                <w:b/>
                <w:bCs/>
                <w:color w:val="auto"/>
                <w:lang w:val="en-US" w:eastAsia="zh-CN"/>
              </w:rPr>
            </w:pPr>
            <w:r>
              <w:rPr>
                <w:rFonts w:hint="eastAsia"/>
                <w:b/>
                <w:bCs/>
                <w:color w:val="auto"/>
              </w:rPr>
              <w:t>考核内容及标准</w:t>
            </w:r>
          </w:p>
        </w:tc>
        <w:tc>
          <w:tcPr>
            <w:tcW w:w="405" w:type="pct"/>
            <w:shd w:val="clear" w:color="auto" w:fill="auto"/>
            <w:tcMar>
              <w:top w:w="120" w:type="dxa"/>
              <w:left w:w="120" w:type="dxa"/>
              <w:bottom w:w="120" w:type="dxa"/>
              <w:right w:w="120" w:type="dxa"/>
            </w:tcMar>
            <w:vAlign w:val="center"/>
          </w:tcPr>
          <w:p w14:paraId="7A94DFE9">
            <w:pPr>
              <w:jc w:val="center"/>
              <w:rPr>
                <w:rFonts w:hint="eastAsia"/>
                <w:b/>
                <w:bCs/>
                <w:color w:val="auto"/>
                <w:lang w:val="en-US" w:eastAsia="zh-CN"/>
              </w:rPr>
            </w:pPr>
            <w:r>
              <w:rPr>
                <w:rFonts w:hint="eastAsia"/>
                <w:b/>
                <w:bCs/>
                <w:color w:val="auto"/>
              </w:rPr>
              <w:t>考核方法</w:t>
            </w:r>
          </w:p>
        </w:tc>
        <w:tc>
          <w:tcPr>
            <w:tcW w:w="435" w:type="pct"/>
            <w:shd w:val="clear" w:color="auto" w:fill="auto"/>
            <w:tcMar>
              <w:top w:w="120" w:type="dxa"/>
              <w:left w:w="120" w:type="dxa"/>
              <w:bottom w:w="120" w:type="dxa"/>
              <w:right w:w="120" w:type="dxa"/>
            </w:tcMar>
            <w:vAlign w:val="center"/>
          </w:tcPr>
          <w:p w14:paraId="68E56FB5">
            <w:pPr>
              <w:jc w:val="center"/>
              <w:rPr>
                <w:rFonts w:hint="eastAsia"/>
                <w:b/>
                <w:bCs/>
                <w:color w:val="auto"/>
                <w:lang w:val="en-US" w:eastAsia="zh-CN"/>
              </w:rPr>
            </w:pPr>
            <w:r>
              <w:rPr>
                <w:rFonts w:hint="eastAsia"/>
                <w:b/>
                <w:bCs/>
                <w:color w:val="auto"/>
              </w:rPr>
              <w:t>权重（分）</w:t>
            </w:r>
          </w:p>
        </w:tc>
        <w:tc>
          <w:tcPr>
            <w:tcW w:w="334" w:type="pct"/>
            <w:shd w:val="clear" w:color="auto" w:fill="auto"/>
            <w:tcMar>
              <w:top w:w="120" w:type="dxa"/>
              <w:left w:w="120" w:type="dxa"/>
              <w:bottom w:w="120" w:type="dxa"/>
              <w:right w:w="120" w:type="dxa"/>
            </w:tcMar>
            <w:vAlign w:val="center"/>
          </w:tcPr>
          <w:p w14:paraId="313781FD">
            <w:pPr>
              <w:jc w:val="center"/>
              <w:rPr>
                <w:rFonts w:hint="eastAsia"/>
                <w:b/>
                <w:bCs/>
                <w:color w:val="auto"/>
              </w:rPr>
            </w:pPr>
            <w:r>
              <w:rPr>
                <w:rFonts w:hint="eastAsia"/>
                <w:b/>
                <w:bCs/>
                <w:color w:val="auto"/>
              </w:rPr>
              <w:t>考核得分</w:t>
            </w:r>
          </w:p>
        </w:tc>
        <w:tc>
          <w:tcPr>
            <w:tcW w:w="556" w:type="pct"/>
            <w:shd w:val="clear" w:color="auto" w:fill="auto"/>
            <w:tcMar>
              <w:top w:w="120" w:type="dxa"/>
              <w:left w:w="120" w:type="dxa"/>
              <w:bottom w:w="120" w:type="dxa"/>
              <w:right w:w="120" w:type="dxa"/>
            </w:tcMar>
            <w:vAlign w:val="center"/>
          </w:tcPr>
          <w:p w14:paraId="02ED16A9">
            <w:pPr>
              <w:jc w:val="center"/>
              <w:rPr>
                <w:rFonts w:hint="eastAsia"/>
                <w:b/>
                <w:bCs/>
                <w:color w:val="auto"/>
              </w:rPr>
            </w:pPr>
            <w:r>
              <w:rPr>
                <w:rFonts w:hint="eastAsia"/>
                <w:b/>
                <w:bCs/>
                <w:color w:val="auto"/>
              </w:rPr>
              <w:t>备注</w:t>
            </w:r>
          </w:p>
        </w:tc>
      </w:tr>
      <w:tr w14:paraId="77F4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57" w:hRule="atLeast"/>
        </w:trPr>
        <w:tc>
          <w:tcPr>
            <w:tcW w:w="262" w:type="pct"/>
            <w:shd w:val="clear" w:color="auto" w:fill="auto"/>
            <w:tcMar>
              <w:top w:w="120" w:type="dxa"/>
              <w:left w:w="120" w:type="dxa"/>
              <w:bottom w:w="120" w:type="dxa"/>
              <w:right w:w="120" w:type="dxa"/>
            </w:tcMar>
            <w:vAlign w:val="center"/>
          </w:tcPr>
          <w:p w14:paraId="1F2C416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1</w:t>
            </w:r>
          </w:p>
          <w:p w14:paraId="0B5B955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lang w:val="en-US" w:eastAsia="zh-CN"/>
              </w:rPr>
            </w:pPr>
          </w:p>
        </w:tc>
        <w:tc>
          <w:tcPr>
            <w:tcW w:w="520" w:type="pct"/>
            <w:shd w:val="clear" w:color="auto" w:fill="auto"/>
            <w:tcMar>
              <w:top w:w="120" w:type="dxa"/>
              <w:left w:w="120" w:type="dxa"/>
              <w:bottom w:w="120" w:type="dxa"/>
              <w:right w:w="120" w:type="dxa"/>
            </w:tcMar>
            <w:vAlign w:val="center"/>
          </w:tcPr>
          <w:p w14:paraId="7A27F36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sz w:val="20"/>
                <w:szCs w:val="20"/>
              </w:rPr>
              <w:t>树木修剪养护</w:t>
            </w:r>
          </w:p>
        </w:tc>
        <w:tc>
          <w:tcPr>
            <w:tcW w:w="2485" w:type="pct"/>
            <w:shd w:val="clear" w:color="auto" w:fill="auto"/>
            <w:tcMar>
              <w:top w:w="120" w:type="dxa"/>
              <w:left w:w="120" w:type="dxa"/>
              <w:bottom w:w="120" w:type="dxa"/>
              <w:right w:w="120" w:type="dxa"/>
            </w:tcMar>
            <w:vAlign w:val="center"/>
          </w:tcPr>
          <w:p w14:paraId="404A801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 遵循“因树修剪、随枝作形、平衡树势、促进生长”原则，休眠期（晚秋至早春）完成枯死枝、病虫枝等各类不良枝条修剪，修剪规范、切口平滑，无过度修剪或修剪不到位情况；</w:t>
            </w:r>
          </w:p>
          <w:p w14:paraId="20F1F2D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2.景观路段/节点林木整形美观，符合景观要求；</w:t>
            </w:r>
          </w:p>
          <w:p w14:paraId="1EA4B0E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3.靠近电力线路、交通标志等的危险枝条及时清理，无安全隐患；4.浇水养护科学合理，水肥“浇透”有效，林木生长良好，无大面积干旱枯萎现象。</w:t>
            </w:r>
          </w:p>
        </w:tc>
        <w:tc>
          <w:tcPr>
            <w:tcW w:w="405" w:type="pct"/>
            <w:shd w:val="clear" w:color="auto" w:fill="auto"/>
            <w:tcMar>
              <w:top w:w="120" w:type="dxa"/>
              <w:left w:w="120" w:type="dxa"/>
              <w:bottom w:w="120" w:type="dxa"/>
              <w:right w:w="120" w:type="dxa"/>
            </w:tcMar>
            <w:vAlign w:val="center"/>
          </w:tcPr>
          <w:p w14:paraId="35829397">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现场巡查、查阅养护记录。</w:t>
            </w:r>
          </w:p>
        </w:tc>
        <w:tc>
          <w:tcPr>
            <w:tcW w:w="435" w:type="pct"/>
            <w:shd w:val="clear" w:color="auto" w:fill="auto"/>
            <w:tcMar>
              <w:top w:w="120" w:type="dxa"/>
              <w:left w:w="120" w:type="dxa"/>
              <w:bottom w:w="120" w:type="dxa"/>
              <w:right w:w="120" w:type="dxa"/>
            </w:tcMar>
            <w:vAlign w:val="center"/>
          </w:tcPr>
          <w:p w14:paraId="78DE635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25</w:t>
            </w:r>
          </w:p>
        </w:tc>
        <w:tc>
          <w:tcPr>
            <w:tcW w:w="334" w:type="pct"/>
            <w:shd w:val="clear" w:color="auto" w:fill="auto"/>
            <w:tcMar>
              <w:top w:w="120" w:type="dxa"/>
              <w:left w:w="120" w:type="dxa"/>
              <w:bottom w:w="120" w:type="dxa"/>
              <w:right w:w="120" w:type="dxa"/>
            </w:tcMar>
            <w:vAlign w:val="center"/>
          </w:tcPr>
          <w:p w14:paraId="6909853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center"/>
          </w:tcPr>
          <w:p w14:paraId="6A57ADD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发现1处未按要求修剪扣2分，1处林木干旱枯萎扣3分。</w:t>
            </w:r>
          </w:p>
        </w:tc>
      </w:tr>
      <w:tr w14:paraId="13B1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center"/>
          </w:tcPr>
          <w:p w14:paraId="0894F2D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2</w:t>
            </w:r>
          </w:p>
        </w:tc>
        <w:tc>
          <w:tcPr>
            <w:tcW w:w="520" w:type="pct"/>
            <w:shd w:val="clear" w:color="auto" w:fill="auto"/>
            <w:tcMar>
              <w:top w:w="120" w:type="dxa"/>
              <w:left w:w="120" w:type="dxa"/>
              <w:bottom w:w="120" w:type="dxa"/>
              <w:right w:w="120" w:type="dxa"/>
            </w:tcMar>
            <w:vAlign w:val="center"/>
          </w:tcPr>
          <w:p w14:paraId="5ED955E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sz w:val="20"/>
                <w:szCs w:val="20"/>
              </w:rPr>
              <w:t>森林防火管理</w:t>
            </w:r>
          </w:p>
        </w:tc>
        <w:tc>
          <w:tcPr>
            <w:tcW w:w="2485" w:type="pct"/>
            <w:shd w:val="clear" w:color="auto" w:fill="auto"/>
            <w:tcMar>
              <w:top w:w="120" w:type="dxa"/>
              <w:left w:w="120" w:type="dxa"/>
              <w:bottom w:w="120" w:type="dxa"/>
              <w:right w:w="120" w:type="dxa"/>
            </w:tcMar>
            <w:vAlign w:val="top"/>
          </w:tcPr>
          <w:p w14:paraId="7B99DA9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1.防火期（10月1日-次年4月30日）加强巡逻，无携带火种进入林区、野外用火等违规行为；</w:t>
            </w:r>
          </w:p>
          <w:p w14:paraId="7A5B969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2.及时清理林下、林缘、防火隔离带内枯枝落叶、杂草等可燃物，无大面积堆积；</w:t>
            </w:r>
          </w:p>
          <w:p w14:paraId="164811E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3.开展联防联控及防火宣传，公众防火意识提升；</w:t>
            </w:r>
          </w:p>
          <w:p w14:paraId="1658AA2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4.森林火灾应急预案完善，防火物资充足有效，无森林火灾事故。</w:t>
            </w:r>
          </w:p>
        </w:tc>
        <w:tc>
          <w:tcPr>
            <w:tcW w:w="405" w:type="pct"/>
            <w:shd w:val="clear" w:color="auto" w:fill="auto"/>
            <w:tcMar>
              <w:top w:w="120" w:type="dxa"/>
              <w:left w:w="120" w:type="dxa"/>
              <w:bottom w:w="120" w:type="dxa"/>
              <w:right w:w="120" w:type="dxa"/>
            </w:tcMar>
            <w:vAlign w:val="top"/>
          </w:tcPr>
          <w:p w14:paraId="3215FE6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现场巡查、查阅巡逻记录、物资台账。</w:t>
            </w:r>
          </w:p>
        </w:tc>
        <w:tc>
          <w:tcPr>
            <w:tcW w:w="435" w:type="pct"/>
            <w:shd w:val="clear" w:color="auto" w:fill="auto"/>
            <w:tcMar>
              <w:top w:w="120" w:type="dxa"/>
              <w:left w:w="120" w:type="dxa"/>
              <w:bottom w:w="120" w:type="dxa"/>
              <w:right w:w="120" w:type="dxa"/>
            </w:tcMar>
            <w:vAlign w:val="top"/>
          </w:tcPr>
          <w:p w14:paraId="41EA046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25</w:t>
            </w:r>
          </w:p>
        </w:tc>
        <w:tc>
          <w:tcPr>
            <w:tcW w:w="334" w:type="pct"/>
            <w:shd w:val="clear" w:color="auto" w:fill="auto"/>
            <w:tcMar>
              <w:top w:w="120" w:type="dxa"/>
              <w:left w:w="120" w:type="dxa"/>
              <w:bottom w:w="120" w:type="dxa"/>
              <w:right w:w="120" w:type="dxa"/>
            </w:tcMar>
            <w:vAlign w:val="top"/>
          </w:tcPr>
          <w:p w14:paraId="71E4109F">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03009BE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发现1起违规用火扣5分，可燃物大面积堆积扣4分，发生火灾事故此项0分。</w:t>
            </w:r>
          </w:p>
        </w:tc>
      </w:tr>
      <w:tr w14:paraId="35CD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center"/>
          </w:tcPr>
          <w:p w14:paraId="5CF823C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w:t>
            </w:r>
          </w:p>
          <w:p w14:paraId="741E2CF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p>
        </w:tc>
        <w:tc>
          <w:tcPr>
            <w:tcW w:w="520" w:type="pct"/>
            <w:shd w:val="clear" w:color="auto" w:fill="auto"/>
            <w:tcMar>
              <w:top w:w="120" w:type="dxa"/>
              <w:left w:w="120" w:type="dxa"/>
              <w:bottom w:w="120" w:type="dxa"/>
              <w:right w:w="120" w:type="dxa"/>
            </w:tcMar>
            <w:vAlign w:val="top"/>
          </w:tcPr>
          <w:p w14:paraId="29BF3E4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基础设施维护与管理</w:t>
            </w:r>
          </w:p>
          <w:p w14:paraId="39D2DFBF">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p>
        </w:tc>
        <w:tc>
          <w:tcPr>
            <w:tcW w:w="2485" w:type="pct"/>
            <w:shd w:val="clear" w:color="auto" w:fill="auto"/>
            <w:tcMar>
              <w:top w:w="120" w:type="dxa"/>
              <w:left w:w="120" w:type="dxa"/>
              <w:bottom w:w="120" w:type="dxa"/>
              <w:right w:w="120" w:type="dxa"/>
            </w:tcMar>
            <w:vAlign w:val="top"/>
          </w:tcPr>
          <w:p w14:paraId="23A6B0B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1.巡护道路、防火通道畅通，道路两侧杂草、灌木及时清理；</w:t>
            </w:r>
          </w:p>
          <w:p w14:paraId="055FA0D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2.宣传牌、警示牌、围栏等设施定期巡检、加固，无损坏、倾斜、缺失；</w:t>
            </w:r>
          </w:p>
          <w:p w14:paraId="42D2E0C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3.供配电、供水设施安全检查到位，无漏电、漏水隐患；</w:t>
            </w:r>
          </w:p>
          <w:p w14:paraId="3CA1446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4.生态涝池、停车场、管理用房、生态卫生间等设施维护良好，正常运行。</w:t>
            </w:r>
          </w:p>
        </w:tc>
        <w:tc>
          <w:tcPr>
            <w:tcW w:w="405" w:type="pct"/>
            <w:shd w:val="clear" w:color="auto" w:fill="auto"/>
            <w:tcMar>
              <w:top w:w="120" w:type="dxa"/>
              <w:left w:w="120" w:type="dxa"/>
              <w:bottom w:w="120" w:type="dxa"/>
              <w:right w:w="120" w:type="dxa"/>
            </w:tcMar>
            <w:vAlign w:val="top"/>
          </w:tcPr>
          <w:p w14:paraId="55C3562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现场核查、查阅维护记录。</w:t>
            </w:r>
          </w:p>
        </w:tc>
        <w:tc>
          <w:tcPr>
            <w:tcW w:w="435" w:type="pct"/>
            <w:shd w:val="clear" w:color="auto" w:fill="auto"/>
            <w:tcMar>
              <w:top w:w="120" w:type="dxa"/>
              <w:left w:w="120" w:type="dxa"/>
              <w:bottom w:w="120" w:type="dxa"/>
              <w:right w:w="120" w:type="dxa"/>
            </w:tcMar>
            <w:vAlign w:val="top"/>
          </w:tcPr>
          <w:p w14:paraId="64A3B9B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20</w:t>
            </w:r>
          </w:p>
        </w:tc>
        <w:tc>
          <w:tcPr>
            <w:tcW w:w="334" w:type="pct"/>
            <w:shd w:val="clear" w:color="auto" w:fill="auto"/>
            <w:tcMar>
              <w:top w:w="120" w:type="dxa"/>
              <w:left w:w="120" w:type="dxa"/>
              <w:bottom w:w="120" w:type="dxa"/>
              <w:right w:w="120" w:type="dxa"/>
            </w:tcMar>
            <w:vAlign w:val="top"/>
          </w:tcPr>
          <w:p w14:paraId="151F5587">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34A9627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1处设施损坏未及时处理扣2分，道路堵塞扣3分，出现安全隐患扣5分。</w:t>
            </w:r>
          </w:p>
        </w:tc>
      </w:tr>
      <w:tr w14:paraId="7F5A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44EE5F6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4</w:t>
            </w:r>
          </w:p>
        </w:tc>
        <w:tc>
          <w:tcPr>
            <w:tcW w:w="520" w:type="pct"/>
            <w:shd w:val="clear" w:color="auto" w:fill="auto"/>
            <w:tcMar>
              <w:top w:w="120" w:type="dxa"/>
              <w:left w:w="120" w:type="dxa"/>
              <w:bottom w:w="120" w:type="dxa"/>
              <w:right w:w="120" w:type="dxa"/>
            </w:tcMar>
            <w:vAlign w:val="top"/>
          </w:tcPr>
          <w:p w14:paraId="0EC4CEE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病虫害防治和野生动植物保护</w:t>
            </w:r>
          </w:p>
        </w:tc>
        <w:tc>
          <w:tcPr>
            <w:tcW w:w="2485" w:type="pct"/>
            <w:shd w:val="clear" w:color="auto" w:fill="auto"/>
            <w:tcMar>
              <w:top w:w="120" w:type="dxa"/>
              <w:left w:w="120" w:type="dxa"/>
              <w:bottom w:w="120" w:type="dxa"/>
              <w:right w:w="120" w:type="dxa"/>
            </w:tcMar>
            <w:vAlign w:val="top"/>
          </w:tcPr>
          <w:p w14:paraId="38597D3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1.贯彻“预防为主，综合治理”方针，加强病虫害监测，记录完整；</w:t>
            </w:r>
          </w:p>
          <w:p w14:paraId="1BD52CA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2.定期开展防寒、防虫刷白作业，作业质量达标；</w:t>
            </w:r>
          </w:p>
          <w:p w14:paraId="1467947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3.科学安全使用药物，无环境污染、人畜安全隐患；</w:t>
            </w:r>
          </w:p>
          <w:p w14:paraId="7E9E82F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4.保护野生动植物，及时制止并报告破坏林木、猎捕野生动物行为。</w:t>
            </w:r>
          </w:p>
        </w:tc>
        <w:tc>
          <w:tcPr>
            <w:tcW w:w="405" w:type="pct"/>
            <w:shd w:val="clear" w:color="auto" w:fill="auto"/>
            <w:tcMar>
              <w:top w:w="120" w:type="dxa"/>
              <w:left w:w="120" w:type="dxa"/>
              <w:bottom w:w="120" w:type="dxa"/>
              <w:right w:w="120" w:type="dxa"/>
            </w:tcMar>
            <w:vAlign w:val="top"/>
          </w:tcPr>
          <w:p w14:paraId="174CFC7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现场检查、查阅监测记录、用药台账</w:t>
            </w:r>
          </w:p>
        </w:tc>
        <w:tc>
          <w:tcPr>
            <w:tcW w:w="435" w:type="pct"/>
            <w:shd w:val="clear" w:color="auto" w:fill="auto"/>
            <w:tcMar>
              <w:top w:w="120" w:type="dxa"/>
              <w:left w:w="120" w:type="dxa"/>
              <w:bottom w:w="120" w:type="dxa"/>
              <w:right w:w="120" w:type="dxa"/>
            </w:tcMar>
            <w:vAlign w:val="top"/>
          </w:tcPr>
          <w:p w14:paraId="7AC3FD1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15</w:t>
            </w:r>
          </w:p>
        </w:tc>
        <w:tc>
          <w:tcPr>
            <w:tcW w:w="334" w:type="pct"/>
            <w:shd w:val="clear" w:color="auto" w:fill="auto"/>
            <w:tcMar>
              <w:top w:w="120" w:type="dxa"/>
              <w:left w:w="120" w:type="dxa"/>
              <w:bottom w:w="120" w:type="dxa"/>
              <w:right w:w="120" w:type="dxa"/>
            </w:tcMar>
            <w:vAlign w:val="top"/>
          </w:tcPr>
          <w:p w14:paraId="1ED59CC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16F6E9D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未开展病虫害监测扣4分，用药不规范扣5分，发现破坏行为未报告扣3分。</w:t>
            </w:r>
          </w:p>
        </w:tc>
      </w:tr>
      <w:tr w14:paraId="08CC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269B8F5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5</w:t>
            </w:r>
          </w:p>
          <w:p w14:paraId="6A31FCD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p>
        </w:tc>
        <w:tc>
          <w:tcPr>
            <w:tcW w:w="520" w:type="pct"/>
            <w:shd w:val="clear" w:color="auto" w:fill="auto"/>
            <w:tcMar>
              <w:top w:w="120" w:type="dxa"/>
              <w:left w:w="120" w:type="dxa"/>
              <w:bottom w:w="120" w:type="dxa"/>
              <w:right w:w="120" w:type="dxa"/>
            </w:tcMar>
            <w:vAlign w:val="top"/>
          </w:tcPr>
          <w:p w14:paraId="441BCBC7">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环境卫生保洁</w:t>
            </w:r>
          </w:p>
        </w:tc>
        <w:tc>
          <w:tcPr>
            <w:tcW w:w="2485" w:type="pct"/>
            <w:shd w:val="clear" w:color="auto" w:fill="auto"/>
            <w:tcMar>
              <w:top w:w="120" w:type="dxa"/>
              <w:left w:w="120" w:type="dxa"/>
              <w:bottom w:w="120" w:type="dxa"/>
              <w:right w:w="120" w:type="dxa"/>
            </w:tcMar>
            <w:vAlign w:val="top"/>
          </w:tcPr>
          <w:p w14:paraId="591EA5E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1.定期清除道路及两侧、垃圾桶、健身娱乐区生活垃圾；</w:t>
            </w:r>
          </w:p>
          <w:p w14:paraId="06C88DA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2.垃圾重点区域定期巡查监督，无垃圾堆积；</w:t>
            </w:r>
          </w:p>
          <w:p w14:paraId="3E9734A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3.林内垃圾、废弃物及时清运，林区环境整洁舒适，无明显杂物、异味。</w:t>
            </w:r>
          </w:p>
        </w:tc>
        <w:tc>
          <w:tcPr>
            <w:tcW w:w="405" w:type="pct"/>
            <w:shd w:val="clear" w:color="auto" w:fill="auto"/>
            <w:tcMar>
              <w:top w:w="120" w:type="dxa"/>
              <w:left w:w="120" w:type="dxa"/>
              <w:bottom w:w="120" w:type="dxa"/>
              <w:right w:w="120" w:type="dxa"/>
            </w:tcMar>
            <w:vAlign w:val="top"/>
          </w:tcPr>
          <w:p w14:paraId="044C569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现场巡查、随机抽查</w:t>
            </w:r>
          </w:p>
        </w:tc>
        <w:tc>
          <w:tcPr>
            <w:tcW w:w="435" w:type="pct"/>
            <w:shd w:val="clear" w:color="auto" w:fill="auto"/>
            <w:tcMar>
              <w:top w:w="120" w:type="dxa"/>
              <w:left w:w="120" w:type="dxa"/>
              <w:bottom w:w="120" w:type="dxa"/>
              <w:right w:w="120" w:type="dxa"/>
            </w:tcMar>
            <w:vAlign w:val="top"/>
          </w:tcPr>
          <w:p w14:paraId="4C8D929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15</w:t>
            </w:r>
          </w:p>
        </w:tc>
        <w:tc>
          <w:tcPr>
            <w:tcW w:w="334" w:type="pct"/>
            <w:shd w:val="clear" w:color="auto" w:fill="auto"/>
            <w:tcMar>
              <w:top w:w="120" w:type="dxa"/>
              <w:left w:w="120" w:type="dxa"/>
              <w:bottom w:w="120" w:type="dxa"/>
              <w:right w:w="120" w:type="dxa"/>
            </w:tcMar>
            <w:vAlign w:val="top"/>
          </w:tcPr>
          <w:p w14:paraId="66407B2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567404C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发现1处垃圾堆积扣2分，垃圾桶满溢未及时清理扣1分。</w:t>
            </w:r>
          </w:p>
        </w:tc>
      </w:tr>
      <w:tr w14:paraId="443C5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6319BA2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6</w:t>
            </w:r>
          </w:p>
        </w:tc>
        <w:tc>
          <w:tcPr>
            <w:tcW w:w="520" w:type="pct"/>
            <w:shd w:val="clear" w:color="auto" w:fill="auto"/>
            <w:tcMar>
              <w:top w:w="120" w:type="dxa"/>
              <w:left w:w="120" w:type="dxa"/>
              <w:bottom w:w="120" w:type="dxa"/>
              <w:right w:w="120" w:type="dxa"/>
            </w:tcMar>
            <w:vAlign w:val="top"/>
          </w:tcPr>
          <w:p w14:paraId="0F82B95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加分项</w:t>
            </w:r>
          </w:p>
        </w:tc>
        <w:tc>
          <w:tcPr>
            <w:tcW w:w="2485" w:type="pct"/>
            <w:shd w:val="clear" w:color="auto" w:fill="auto"/>
            <w:tcMar>
              <w:top w:w="120" w:type="dxa"/>
              <w:left w:w="120" w:type="dxa"/>
              <w:bottom w:w="120" w:type="dxa"/>
              <w:right w:w="120" w:type="dxa"/>
            </w:tcMar>
            <w:vAlign w:val="top"/>
          </w:tcPr>
          <w:p w14:paraId="5D985021">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创新养护管理方法，成效显著；</w:t>
            </w:r>
          </w:p>
          <w:p w14:paraId="41EB3B20">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获得上级部门表彰或群众广泛好评；</w:t>
            </w:r>
          </w:p>
          <w:p w14:paraId="5967655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3.及时发现重大安全隐患并妥善处置。</w:t>
            </w:r>
          </w:p>
        </w:tc>
        <w:tc>
          <w:tcPr>
            <w:tcW w:w="405" w:type="pct"/>
            <w:shd w:val="clear" w:color="auto" w:fill="auto"/>
            <w:tcMar>
              <w:top w:w="120" w:type="dxa"/>
              <w:left w:w="120" w:type="dxa"/>
              <w:bottom w:w="120" w:type="dxa"/>
              <w:right w:w="120" w:type="dxa"/>
            </w:tcMar>
            <w:vAlign w:val="top"/>
          </w:tcPr>
          <w:p w14:paraId="69332F0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查阅证明材料、实地核实</w:t>
            </w:r>
          </w:p>
        </w:tc>
        <w:tc>
          <w:tcPr>
            <w:tcW w:w="435" w:type="pct"/>
            <w:shd w:val="clear" w:color="auto" w:fill="auto"/>
            <w:tcMar>
              <w:top w:w="120" w:type="dxa"/>
              <w:left w:w="120" w:type="dxa"/>
              <w:bottom w:w="120" w:type="dxa"/>
              <w:right w:w="120" w:type="dxa"/>
            </w:tcMar>
            <w:vAlign w:val="top"/>
          </w:tcPr>
          <w:p w14:paraId="0B7D277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5（上限）</w:t>
            </w:r>
          </w:p>
        </w:tc>
        <w:tc>
          <w:tcPr>
            <w:tcW w:w="334" w:type="pct"/>
            <w:shd w:val="clear" w:color="auto" w:fill="auto"/>
            <w:tcMar>
              <w:top w:w="120" w:type="dxa"/>
              <w:left w:w="120" w:type="dxa"/>
              <w:bottom w:w="120" w:type="dxa"/>
              <w:right w:w="120" w:type="dxa"/>
            </w:tcMar>
            <w:vAlign w:val="top"/>
          </w:tcPr>
          <w:p w14:paraId="6153C59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1152DD1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每项加分不超过2分，累计不超过5分。</w:t>
            </w:r>
          </w:p>
        </w:tc>
      </w:tr>
      <w:tr w14:paraId="5154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36D1A37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7</w:t>
            </w:r>
          </w:p>
        </w:tc>
        <w:tc>
          <w:tcPr>
            <w:tcW w:w="520" w:type="pct"/>
            <w:shd w:val="clear" w:color="auto" w:fill="auto"/>
            <w:tcMar>
              <w:top w:w="120" w:type="dxa"/>
              <w:left w:w="120" w:type="dxa"/>
              <w:bottom w:w="120" w:type="dxa"/>
              <w:right w:w="120" w:type="dxa"/>
            </w:tcMar>
            <w:vAlign w:val="top"/>
          </w:tcPr>
          <w:p w14:paraId="74DDC69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扣分项（可累计）</w:t>
            </w:r>
          </w:p>
        </w:tc>
        <w:tc>
          <w:tcPr>
            <w:tcW w:w="2485" w:type="pct"/>
            <w:shd w:val="clear" w:color="auto" w:fill="auto"/>
            <w:tcMar>
              <w:top w:w="120" w:type="dxa"/>
              <w:left w:w="120" w:type="dxa"/>
              <w:bottom w:w="120" w:type="dxa"/>
              <w:right w:w="120" w:type="dxa"/>
            </w:tcMar>
            <w:vAlign w:val="top"/>
          </w:tcPr>
          <w:p w14:paraId="5B057EE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1.未按要求报送养护管理资料；</w:t>
            </w:r>
          </w:p>
          <w:p w14:paraId="7F0154E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2.接到整改通知后未按时整改；</w:t>
            </w:r>
          </w:p>
          <w:p w14:paraId="4EC4D69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3.因管理不当引发群众投诉并查实。</w:t>
            </w:r>
          </w:p>
        </w:tc>
        <w:tc>
          <w:tcPr>
            <w:tcW w:w="405" w:type="pct"/>
            <w:shd w:val="clear" w:color="auto" w:fill="auto"/>
            <w:tcMar>
              <w:top w:w="120" w:type="dxa"/>
              <w:left w:w="120" w:type="dxa"/>
              <w:bottom w:w="120" w:type="dxa"/>
              <w:right w:w="120" w:type="dxa"/>
            </w:tcMar>
            <w:vAlign w:val="top"/>
          </w:tcPr>
          <w:p w14:paraId="30FD317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查阅资料、核实投诉记录</w:t>
            </w:r>
          </w:p>
        </w:tc>
        <w:tc>
          <w:tcPr>
            <w:tcW w:w="435" w:type="pct"/>
            <w:shd w:val="clear" w:color="auto" w:fill="auto"/>
            <w:tcMar>
              <w:top w:w="120" w:type="dxa"/>
              <w:left w:w="120" w:type="dxa"/>
              <w:bottom w:w="120" w:type="dxa"/>
              <w:right w:w="120" w:type="dxa"/>
            </w:tcMar>
            <w:vAlign w:val="top"/>
          </w:tcPr>
          <w:p w14:paraId="355D267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w:t>
            </w:r>
          </w:p>
        </w:tc>
        <w:tc>
          <w:tcPr>
            <w:tcW w:w="334" w:type="pct"/>
            <w:shd w:val="clear" w:color="auto" w:fill="auto"/>
            <w:tcMar>
              <w:top w:w="120" w:type="dxa"/>
              <w:left w:w="120" w:type="dxa"/>
              <w:bottom w:w="120" w:type="dxa"/>
              <w:right w:w="120" w:type="dxa"/>
            </w:tcMar>
            <w:vAlign w:val="top"/>
          </w:tcPr>
          <w:p w14:paraId="2658B00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4C94708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每项每次扣3-5分，情节严重的另行处理。</w:t>
            </w:r>
          </w:p>
        </w:tc>
      </w:tr>
      <w:tr w14:paraId="31FF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3673" w:type="pct"/>
            <w:gridSpan w:val="4"/>
            <w:shd w:val="clear" w:color="auto" w:fill="auto"/>
            <w:tcMar>
              <w:top w:w="120" w:type="dxa"/>
              <w:left w:w="120" w:type="dxa"/>
              <w:bottom w:w="120" w:type="dxa"/>
              <w:right w:w="120" w:type="dxa"/>
            </w:tcMar>
            <w:vAlign w:val="center"/>
          </w:tcPr>
          <w:p w14:paraId="09BA2E9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总分（加权得分+加分-扣分）</w:t>
            </w:r>
          </w:p>
        </w:tc>
        <w:tc>
          <w:tcPr>
            <w:tcW w:w="435" w:type="pct"/>
            <w:shd w:val="clear" w:color="auto" w:fill="auto"/>
            <w:tcMar>
              <w:top w:w="120" w:type="dxa"/>
              <w:left w:w="120" w:type="dxa"/>
              <w:bottom w:w="120" w:type="dxa"/>
              <w:right w:w="120" w:type="dxa"/>
            </w:tcMar>
            <w:vAlign w:val="top"/>
          </w:tcPr>
          <w:p w14:paraId="4FE9492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100+5</w:t>
            </w:r>
          </w:p>
          <w:p w14:paraId="0D0F902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p>
        </w:tc>
        <w:tc>
          <w:tcPr>
            <w:tcW w:w="334" w:type="pct"/>
            <w:shd w:val="clear" w:color="auto" w:fill="auto"/>
            <w:tcMar>
              <w:top w:w="120" w:type="dxa"/>
              <w:left w:w="120" w:type="dxa"/>
              <w:bottom w:w="120" w:type="dxa"/>
              <w:right w:w="120" w:type="dxa"/>
            </w:tcMar>
            <w:vAlign w:val="top"/>
          </w:tcPr>
          <w:p w14:paraId="11D1989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p>
        </w:tc>
        <w:tc>
          <w:tcPr>
            <w:tcW w:w="556" w:type="pct"/>
            <w:shd w:val="clear" w:color="auto" w:fill="auto"/>
            <w:tcMar>
              <w:top w:w="120" w:type="dxa"/>
              <w:left w:w="120" w:type="dxa"/>
              <w:bottom w:w="120" w:type="dxa"/>
              <w:right w:w="120" w:type="dxa"/>
            </w:tcMar>
            <w:vAlign w:val="top"/>
          </w:tcPr>
          <w:p w14:paraId="3908CDB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lang w:eastAsia="zh-CN"/>
              </w:rPr>
            </w:pPr>
            <w:r>
              <w:rPr>
                <w:rFonts w:hint="eastAsia" w:ascii="仿宋" w:hAnsi="仿宋" w:eastAsia="仿宋" w:cs="仿宋"/>
                <w:color w:val="auto"/>
                <w:sz w:val="20"/>
                <w:szCs w:val="20"/>
              </w:rPr>
              <w:t>90分及以上为优秀，80-89分为良好，60-79分为合格，60分以下为不合格</w:t>
            </w:r>
            <w:r>
              <w:rPr>
                <w:rFonts w:hint="eastAsia" w:ascii="仿宋" w:hAnsi="仿宋" w:eastAsia="仿宋" w:cs="仿宋"/>
                <w:color w:val="auto"/>
                <w:sz w:val="20"/>
                <w:szCs w:val="20"/>
                <w:lang w:eastAsia="zh-CN"/>
              </w:rPr>
              <w:t>。</w:t>
            </w:r>
          </w:p>
        </w:tc>
      </w:tr>
    </w:tbl>
    <w:p w14:paraId="685FE827">
      <w:pPr>
        <w:pStyle w:val="5"/>
        <w:rPr>
          <w:rFonts w:hint="eastAsia"/>
          <w:color w:val="auto"/>
        </w:rPr>
      </w:pPr>
    </w:p>
    <w:p w14:paraId="64758855">
      <w:pPr>
        <w:rPr>
          <w:rFonts w:hint="eastAsia"/>
          <w:color w:val="auto"/>
        </w:rPr>
        <w:sectPr>
          <w:pgSz w:w="16838" w:h="11906" w:orient="landscape"/>
          <w:pgMar w:top="1134" w:right="1134" w:bottom="1134" w:left="1134" w:header="851" w:footer="992" w:gutter="0"/>
          <w:cols w:space="425" w:num="1"/>
          <w:docGrid w:type="lines" w:linePitch="312" w:charSpace="0"/>
        </w:sectPr>
      </w:pP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4822"/>
        <w:gridCol w:w="5054"/>
      </w:tblGrid>
      <w:tr w14:paraId="2E26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2441" w:type="pct"/>
            <w:shd w:val="clear" w:color="auto" w:fill="auto"/>
            <w:tcMar>
              <w:top w:w="120" w:type="dxa"/>
              <w:left w:w="120" w:type="dxa"/>
              <w:bottom w:w="120" w:type="dxa"/>
              <w:right w:w="120" w:type="dxa"/>
            </w:tcMar>
            <w:vAlign w:val="center"/>
          </w:tcPr>
          <w:p w14:paraId="2A41F836">
            <w:pPr>
              <w:pStyle w:val="5"/>
              <w:jc w:val="center"/>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考核意见</w:t>
            </w:r>
          </w:p>
        </w:tc>
        <w:tc>
          <w:tcPr>
            <w:tcW w:w="2558" w:type="pct"/>
            <w:shd w:val="clear" w:color="auto" w:fill="auto"/>
            <w:tcMar>
              <w:top w:w="120" w:type="dxa"/>
              <w:left w:w="120" w:type="dxa"/>
              <w:bottom w:w="120" w:type="dxa"/>
              <w:right w:w="120" w:type="dxa"/>
            </w:tcMar>
            <w:vAlign w:val="center"/>
          </w:tcPr>
          <w:p w14:paraId="4C83D671">
            <w:pPr>
              <w:pStyle w:val="5"/>
              <w:jc w:val="center"/>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考核结果应用建议</w:t>
            </w:r>
          </w:p>
        </w:tc>
      </w:tr>
      <w:tr w14:paraId="2D01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752" w:hRule="atLeast"/>
        </w:trPr>
        <w:tc>
          <w:tcPr>
            <w:tcW w:w="2441" w:type="pct"/>
            <w:shd w:val="clear" w:color="auto" w:fill="auto"/>
            <w:tcMar>
              <w:top w:w="120" w:type="dxa"/>
              <w:left w:w="120" w:type="dxa"/>
              <w:bottom w:w="120" w:type="dxa"/>
              <w:right w:w="120" w:type="dxa"/>
            </w:tcMar>
            <w:vAlign w:val="top"/>
          </w:tcPr>
          <w:p w14:paraId="02AC2655">
            <w:pPr>
              <w:rPr>
                <w:rFonts w:hint="eastAsia" w:ascii="仿宋" w:hAnsi="仿宋" w:eastAsia="仿宋" w:cs="仿宋"/>
                <w:color w:val="auto"/>
                <w:sz w:val="24"/>
                <w:szCs w:val="24"/>
                <w:u w:val="single"/>
                <w:lang w:val="en-US" w:eastAsia="zh-CN"/>
              </w:rPr>
            </w:pPr>
          </w:p>
        </w:tc>
        <w:tc>
          <w:tcPr>
            <w:tcW w:w="2558" w:type="pct"/>
            <w:shd w:val="clear" w:color="auto" w:fill="auto"/>
            <w:tcMar>
              <w:top w:w="120" w:type="dxa"/>
              <w:left w:w="120" w:type="dxa"/>
              <w:bottom w:w="120" w:type="dxa"/>
              <w:right w:w="120" w:type="dxa"/>
            </w:tcMar>
            <w:vAlign w:val="top"/>
          </w:tcPr>
          <w:p w14:paraId="42DE4FAB">
            <w:pPr>
              <w:rPr>
                <w:rFonts w:hint="eastAsia" w:ascii="仿宋" w:hAnsi="仿宋" w:eastAsia="仿宋" w:cs="仿宋"/>
                <w:color w:val="auto"/>
                <w:sz w:val="24"/>
                <w:szCs w:val="24"/>
                <w:lang w:val="en-US" w:eastAsia="zh-CN"/>
              </w:rPr>
            </w:pPr>
          </w:p>
        </w:tc>
      </w:tr>
    </w:tbl>
    <w:p w14:paraId="6263F49B">
      <w:pPr>
        <w:pStyle w:val="5"/>
        <w:rPr>
          <w:rFonts w:hint="eastAsia"/>
          <w:color w:val="auto"/>
        </w:rPr>
      </w:pPr>
    </w:p>
    <w:p w14:paraId="1E0044AF">
      <w:pPr>
        <w:rPr>
          <w:rFonts w:hint="eastAsia"/>
          <w:color w:val="auto"/>
        </w:rPr>
      </w:pPr>
    </w:p>
    <w:p w14:paraId="347B4E17">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pPr>
    </w:p>
    <w:p w14:paraId="547E7A4D">
      <w:pPr>
        <w:keepNext w:val="0"/>
        <w:keepLines w:val="0"/>
        <w:widowControl/>
        <w:suppressLineNumbers w:val="0"/>
        <w:spacing w:line="36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考核人员签字：</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u w:val="none"/>
          <w:lang w:val="en-US" w:eastAsia="zh-CN" w:bidi="ar"/>
        </w:rPr>
        <w:t xml:space="preserve">        </w:t>
      </w:r>
      <w:r>
        <w:rPr>
          <w:rFonts w:hint="eastAsia" w:ascii="仿宋" w:hAnsi="仿宋" w:eastAsia="仿宋" w:cs="仿宋"/>
          <w:color w:val="auto"/>
          <w:kern w:val="0"/>
          <w:sz w:val="24"/>
          <w:szCs w:val="24"/>
          <w:lang w:val="en-US" w:eastAsia="zh-CN" w:bidi="ar"/>
        </w:rPr>
        <w:t>日期：</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年</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月</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w:t>
      </w:r>
    </w:p>
    <w:p w14:paraId="4867B0FC">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pPr>
    </w:p>
    <w:p w14:paraId="3F51AC52">
      <w:pPr>
        <w:keepNext w:val="0"/>
        <w:keepLines w:val="0"/>
        <w:widowControl/>
        <w:suppressLineNumbers w:val="0"/>
        <w:spacing w:line="36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被考核单位签字（盖章）：</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 xml:space="preserve">        日期：</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年</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月</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w:t>
      </w:r>
    </w:p>
    <w:p w14:paraId="0A1755D6">
      <w:pPr>
        <w:rPr>
          <w:rFonts w:hint="eastAsia" w:ascii="仿宋" w:hAnsi="仿宋" w:eastAsia="仿宋" w:cs="仿宋"/>
          <w:b/>
          <w:bCs/>
          <w:color w:val="auto"/>
          <w:sz w:val="28"/>
          <w:szCs w:val="28"/>
        </w:rPr>
        <w:sectPr>
          <w:pgSz w:w="11906" w:h="16838"/>
          <w:pgMar w:top="1134" w:right="1134" w:bottom="1134" w:left="1134" w:header="851" w:footer="992" w:gutter="0"/>
          <w:cols w:space="425" w:num="1"/>
          <w:docGrid w:type="lines" w:linePitch="312" w:charSpace="0"/>
        </w:sectPr>
      </w:pPr>
    </w:p>
    <w:p w14:paraId="7EAB0BA0">
      <w:pPr>
        <w:rPr>
          <w:rFonts w:hint="eastAsia" w:ascii="仿宋" w:hAnsi="仿宋" w:eastAsia="仿宋" w:cs="仿宋"/>
          <w:b/>
          <w:bCs/>
          <w:color w:val="auto"/>
          <w:sz w:val="24"/>
          <w:szCs w:val="24"/>
          <w:lang w:eastAsia="zh-CN"/>
        </w:rPr>
      </w:pPr>
      <w:r>
        <w:rPr>
          <w:rFonts w:hint="eastAsia" w:ascii="仿宋" w:hAnsi="仿宋" w:eastAsia="仿宋" w:cs="仿宋"/>
          <w:b/>
          <w:bCs/>
          <w:color w:val="auto"/>
          <w:sz w:val="28"/>
          <w:szCs w:val="28"/>
        </w:rPr>
        <w:t>政府采购项目公开招标</w:t>
      </w:r>
    </w:p>
    <w:p w14:paraId="4DB61060">
      <w:pPr>
        <w:keepNext w:val="0"/>
        <w:keepLines w:val="0"/>
        <w:widowControl/>
        <w:suppressLineNumbers w:val="0"/>
        <w:jc w:val="center"/>
        <w:rPr>
          <w:rFonts w:hint="eastAsia" w:ascii="仿宋" w:hAnsi="仿宋" w:eastAsia="仿宋" w:cs="仿宋"/>
          <w:color w:val="auto"/>
          <w:kern w:val="0"/>
          <w:sz w:val="32"/>
          <w:szCs w:val="32"/>
          <w:lang w:val="en-US" w:eastAsia="zh-CN" w:bidi="ar"/>
        </w:rPr>
      </w:pPr>
    </w:p>
    <w:p w14:paraId="572EAEBC">
      <w:pPr>
        <w:keepNext w:val="0"/>
        <w:keepLines w:val="0"/>
        <w:widowControl/>
        <w:suppressLineNumbers w:val="0"/>
        <w:jc w:val="center"/>
        <w:rPr>
          <w:rFonts w:hint="eastAsia" w:ascii="仿宋" w:hAnsi="仿宋" w:eastAsia="仿宋" w:cs="仿宋"/>
          <w:b/>
          <w:bCs/>
          <w:color w:val="auto"/>
          <w:kern w:val="0"/>
          <w:sz w:val="40"/>
          <w:szCs w:val="40"/>
          <w:lang w:val="en-US" w:eastAsia="zh-CN" w:bidi="ar"/>
        </w:rPr>
      </w:pPr>
      <w:r>
        <w:rPr>
          <w:rFonts w:hint="eastAsia" w:ascii="仿宋" w:hAnsi="仿宋" w:eastAsia="仿宋" w:cs="仿宋"/>
          <w:b/>
          <w:bCs/>
          <w:color w:val="auto"/>
          <w:kern w:val="0"/>
          <w:sz w:val="40"/>
          <w:szCs w:val="40"/>
          <w:lang w:val="en-US" w:eastAsia="zh-CN" w:bidi="ar"/>
        </w:rPr>
        <w:t>蒲城县城北防护（康养）林养护管理项目（西区）</w:t>
      </w:r>
    </w:p>
    <w:p w14:paraId="46E9BCF3">
      <w:pPr>
        <w:keepNext w:val="0"/>
        <w:keepLines w:val="0"/>
        <w:widowControl/>
        <w:suppressLineNumbers w:val="0"/>
        <w:jc w:val="center"/>
        <w:rPr>
          <w:rFonts w:hint="eastAsia" w:ascii="仿宋" w:hAnsi="仿宋" w:eastAsia="仿宋" w:cs="仿宋"/>
          <w:color w:val="auto"/>
          <w:kern w:val="0"/>
          <w:sz w:val="32"/>
          <w:szCs w:val="32"/>
          <w:lang w:val="en-US" w:eastAsia="zh-CN" w:bidi="ar"/>
        </w:rPr>
      </w:pPr>
    </w:p>
    <w:p w14:paraId="3E264FF2">
      <w:pPr>
        <w:keepNext w:val="0"/>
        <w:keepLines w:val="0"/>
        <w:widowControl/>
        <w:suppressLineNumbers w:val="0"/>
        <w:jc w:val="center"/>
        <w:rPr>
          <w:rFonts w:hint="eastAsia" w:ascii="仿宋" w:hAnsi="仿宋" w:eastAsia="仿宋" w:cs="仿宋"/>
          <w:b/>
          <w:bCs/>
          <w:color w:val="auto"/>
          <w:kern w:val="0"/>
          <w:sz w:val="32"/>
          <w:szCs w:val="32"/>
          <w:lang w:val="en-US" w:eastAsia="zh-CN" w:bidi="ar"/>
        </w:rPr>
      </w:pPr>
      <w:r>
        <w:rPr>
          <w:rFonts w:hint="eastAsia" w:ascii="仿宋" w:hAnsi="仿宋" w:eastAsia="仿宋" w:cs="仿宋"/>
          <w:b/>
          <w:bCs/>
          <w:color w:val="auto"/>
          <w:kern w:val="0"/>
          <w:sz w:val="32"/>
          <w:szCs w:val="32"/>
          <w:lang w:val="en-US" w:eastAsia="zh-CN" w:bidi="ar"/>
        </w:rPr>
        <w:t>服务合同</w:t>
      </w:r>
    </w:p>
    <w:p w14:paraId="68E520A6">
      <w:pPr>
        <w:keepNext w:val="0"/>
        <w:keepLines w:val="0"/>
        <w:widowControl/>
        <w:suppressLineNumbers w:val="0"/>
        <w:jc w:val="center"/>
        <w:rPr>
          <w:rFonts w:hint="eastAsia" w:ascii="仿宋" w:hAnsi="仿宋" w:eastAsia="仿宋" w:cs="仿宋"/>
          <w:b/>
          <w:bCs/>
          <w:color w:val="auto"/>
          <w:kern w:val="0"/>
          <w:sz w:val="32"/>
          <w:szCs w:val="32"/>
          <w:lang w:val="en-US" w:eastAsia="zh-CN" w:bidi="ar"/>
        </w:rPr>
      </w:pPr>
      <w:r>
        <w:rPr>
          <w:rFonts w:hint="eastAsia" w:ascii="仿宋" w:hAnsi="仿宋" w:eastAsia="仿宋" w:cs="仿宋"/>
          <w:b/>
          <w:bCs/>
          <w:color w:val="auto"/>
          <w:kern w:val="0"/>
          <w:sz w:val="32"/>
          <w:szCs w:val="32"/>
          <w:lang w:val="en-US" w:eastAsia="zh-CN" w:bidi="ar"/>
        </w:rPr>
        <w:t>（参考文本）</w:t>
      </w:r>
    </w:p>
    <w:p w14:paraId="1568331C">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lang w:val="en-US" w:eastAsia="zh-CN"/>
        </w:rPr>
        <w:t>合同</w:t>
      </w:r>
      <w:r>
        <w:rPr>
          <w:rFonts w:hint="eastAsia" w:ascii="仿宋" w:hAnsi="仿宋" w:eastAsia="仿宋" w:cs="仿宋"/>
          <w:b/>
          <w:bCs/>
          <w:color w:val="auto"/>
          <w:sz w:val="32"/>
          <w:szCs w:val="32"/>
          <w:highlight w:val="none"/>
        </w:rPr>
        <w:t>编号：</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w:t>
      </w:r>
    </w:p>
    <w:p w14:paraId="0C133EBC">
      <w:pPr>
        <w:rPr>
          <w:rFonts w:hint="eastAsia" w:ascii="仿宋" w:hAnsi="仿宋" w:eastAsia="仿宋" w:cs="仿宋"/>
          <w:color w:val="auto"/>
          <w:sz w:val="28"/>
          <w:szCs w:val="28"/>
        </w:rPr>
      </w:pPr>
    </w:p>
    <w:p w14:paraId="494B66C7">
      <w:pPr>
        <w:rPr>
          <w:rFonts w:hint="eastAsia" w:ascii="仿宋" w:hAnsi="仿宋" w:eastAsia="仿宋" w:cs="仿宋"/>
          <w:color w:val="auto"/>
          <w:sz w:val="28"/>
          <w:szCs w:val="28"/>
        </w:rPr>
      </w:pPr>
    </w:p>
    <w:p w14:paraId="19211591">
      <w:pPr>
        <w:rPr>
          <w:rFonts w:hint="eastAsia" w:ascii="仿宋" w:hAnsi="仿宋" w:eastAsia="仿宋" w:cs="仿宋"/>
          <w:color w:val="auto"/>
          <w:sz w:val="28"/>
          <w:szCs w:val="28"/>
        </w:rPr>
      </w:pPr>
    </w:p>
    <w:p w14:paraId="6B61D0F7">
      <w:pPr>
        <w:rPr>
          <w:rFonts w:hint="eastAsia" w:ascii="仿宋" w:hAnsi="仿宋" w:eastAsia="仿宋" w:cs="仿宋"/>
          <w:color w:val="auto"/>
          <w:sz w:val="28"/>
          <w:szCs w:val="28"/>
        </w:rPr>
      </w:pPr>
    </w:p>
    <w:p w14:paraId="795DB088">
      <w:pPr>
        <w:rPr>
          <w:rFonts w:hint="eastAsia" w:ascii="仿宋" w:hAnsi="仿宋" w:eastAsia="仿宋" w:cs="仿宋"/>
          <w:color w:val="auto"/>
          <w:sz w:val="28"/>
          <w:szCs w:val="28"/>
        </w:rPr>
      </w:pPr>
    </w:p>
    <w:p w14:paraId="07F6C42A">
      <w:pPr>
        <w:rPr>
          <w:rFonts w:hint="eastAsia" w:ascii="仿宋" w:hAnsi="仿宋" w:eastAsia="仿宋" w:cs="仿宋"/>
          <w:color w:val="auto"/>
          <w:sz w:val="28"/>
          <w:szCs w:val="28"/>
        </w:rPr>
      </w:pPr>
    </w:p>
    <w:p w14:paraId="7C9ECB02">
      <w:pPr>
        <w:rPr>
          <w:rFonts w:hint="eastAsia" w:ascii="仿宋" w:hAnsi="仿宋" w:eastAsia="仿宋" w:cs="仿宋"/>
          <w:color w:val="auto"/>
          <w:sz w:val="28"/>
          <w:szCs w:val="28"/>
        </w:rPr>
      </w:pPr>
    </w:p>
    <w:p w14:paraId="0A890FCD">
      <w:pPr>
        <w:rPr>
          <w:rFonts w:hint="eastAsia" w:ascii="仿宋" w:hAnsi="仿宋" w:eastAsia="仿宋" w:cs="仿宋"/>
          <w:color w:val="auto"/>
          <w:sz w:val="28"/>
          <w:szCs w:val="28"/>
        </w:rPr>
      </w:pPr>
    </w:p>
    <w:p w14:paraId="3CCE053C">
      <w:pPr>
        <w:rPr>
          <w:rFonts w:hint="eastAsia" w:ascii="仿宋" w:hAnsi="仿宋" w:eastAsia="仿宋" w:cs="仿宋"/>
          <w:color w:val="auto"/>
          <w:sz w:val="28"/>
          <w:szCs w:val="28"/>
        </w:rPr>
      </w:pPr>
    </w:p>
    <w:p w14:paraId="11255FC9">
      <w:pPr>
        <w:rPr>
          <w:rFonts w:hint="eastAsia" w:ascii="仿宋" w:hAnsi="仿宋" w:eastAsia="仿宋" w:cs="仿宋"/>
          <w:color w:val="auto"/>
          <w:sz w:val="28"/>
          <w:szCs w:val="28"/>
        </w:rPr>
      </w:pPr>
    </w:p>
    <w:p w14:paraId="4110628E">
      <w:pPr>
        <w:ind w:firstLine="1405" w:firstLineChars="500"/>
        <w:rPr>
          <w:rFonts w:hint="default" w:ascii="仿宋" w:hAnsi="仿宋" w:eastAsia="仿宋" w:cs="仿宋"/>
          <w:color w:val="auto"/>
          <w:sz w:val="28"/>
          <w:szCs w:val="28"/>
          <w:lang w:val="en-US" w:eastAsia="zh-CN"/>
        </w:rPr>
      </w:pPr>
      <w:r>
        <w:rPr>
          <w:rFonts w:hint="eastAsia" w:ascii="仿宋" w:hAnsi="仿宋" w:eastAsia="仿宋" w:cs="仿宋"/>
          <w:b/>
          <w:bCs/>
          <w:color w:val="auto"/>
          <w:sz w:val="28"/>
          <w:szCs w:val="28"/>
        </w:rPr>
        <w:t>甲方：</w:t>
      </w:r>
      <w:r>
        <w:rPr>
          <w:rFonts w:hint="eastAsia" w:ascii="仿宋" w:hAnsi="仿宋" w:eastAsia="仿宋" w:cs="仿宋"/>
          <w:color w:val="auto"/>
          <w:sz w:val="28"/>
          <w:szCs w:val="28"/>
          <w:u w:val="single"/>
          <w:lang w:val="en-US" w:eastAsia="zh-CN"/>
        </w:rPr>
        <w:t xml:space="preserve">   蒲城县林业局       </w:t>
      </w:r>
    </w:p>
    <w:p w14:paraId="2037E62A">
      <w:pPr>
        <w:ind w:firstLine="1405" w:firstLineChars="500"/>
        <w:rPr>
          <w:rFonts w:hint="default"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rPr>
        <w:t>乙方:</w:t>
      </w:r>
      <w:r>
        <w:rPr>
          <w:rFonts w:hint="eastAsia" w:ascii="仿宋" w:hAnsi="仿宋" w:eastAsia="仿宋" w:cs="仿宋"/>
          <w:b/>
          <w:bCs/>
          <w:color w:val="auto"/>
          <w:sz w:val="28"/>
          <w:szCs w:val="28"/>
          <w:u w:val="single"/>
          <w:lang w:val="en-US" w:eastAsia="zh-CN"/>
        </w:rPr>
        <w:t xml:space="preserve">                       </w:t>
      </w:r>
    </w:p>
    <w:p w14:paraId="0EF8467F">
      <w:pPr>
        <w:rPr>
          <w:rFonts w:hint="eastAsia" w:ascii="仿宋" w:hAnsi="仿宋" w:eastAsia="仿宋" w:cs="仿宋"/>
          <w:color w:val="auto"/>
          <w:sz w:val="28"/>
          <w:szCs w:val="28"/>
        </w:rPr>
      </w:pPr>
    </w:p>
    <w:p w14:paraId="58DF92C0">
      <w:pPr>
        <w:jc w:val="center"/>
        <w:rPr>
          <w:rFonts w:hint="eastAsia" w:ascii="仿宋" w:hAnsi="仿宋" w:eastAsia="仿宋" w:cs="仿宋"/>
          <w:color w:val="auto"/>
          <w:sz w:val="28"/>
          <w:szCs w:val="28"/>
        </w:rPr>
      </w:pPr>
    </w:p>
    <w:p w14:paraId="7D026D61">
      <w:pPr>
        <w:jc w:val="center"/>
        <w:rPr>
          <w:rFonts w:hint="eastAsia" w:ascii="仿宋" w:hAnsi="仿宋" w:eastAsia="仿宋" w:cs="仿宋"/>
          <w:color w:val="auto"/>
          <w:sz w:val="28"/>
          <w:szCs w:val="28"/>
        </w:rPr>
      </w:pP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p>
    <w:p w14:paraId="4CFCFC0A">
      <w:pPr>
        <w:jc w:val="center"/>
        <w:rPr>
          <w:rFonts w:hint="eastAsia" w:ascii="仿宋" w:hAnsi="仿宋" w:eastAsia="仿宋" w:cs="仿宋"/>
          <w:b/>
          <w:bCs/>
          <w:color w:val="auto"/>
          <w:highlight w:val="none"/>
        </w:rPr>
        <w:sectPr>
          <w:pgSz w:w="11906" w:h="16838"/>
          <w:pgMar w:top="1134" w:right="1134" w:bottom="1134" w:left="1134" w:header="851" w:footer="992" w:gutter="0"/>
          <w:cols w:space="425" w:num="1"/>
          <w:docGrid w:type="lines" w:linePitch="312" w:charSpace="0"/>
        </w:sectPr>
      </w:pPr>
    </w:p>
    <w:p w14:paraId="1B14923B">
      <w:pPr>
        <w:spacing w:line="360" w:lineRule="auto"/>
        <w:rPr>
          <w:rFonts w:hint="default" w:ascii="仿宋" w:hAnsi="仿宋" w:eastAsia="仿宋" w:cs="仿宋"/>
          <w:color w:val="auto"/>
          <w:sz w:val="24"/>
          <w:szCs w:val="24"/>
          <w:lang w:val="en-US"/>
        </w:rPr>
      </w:pPr>
      <w:r>
        <w:rPr>
          <w:rFonts w:hint="eastAsia" w:ascii="仿宋" w:hAnsi="仿宋" w:eastAsia="仿宋" w:cs="仿宋"/>
          <w:color w:val="auto"/>
          <w:sz w:val="24"/>
          <w:szCs w:val="24"/>
        </w:rPr>
        <w:t>甲方(全称):</w:t>
      </w:r>
      <w:r>
        <w:rPr>
          <w:rFonts w:hint="eastAsia" w:ascii="仿宋" w:hAnsi="仿宋" w:eastAsia="仿宋" w:cs="仿宋"/>
          <w:color w:val="auto"/>
          <w:sz w:val="24"/>
          <w:szCs w:val="24"/>
          <w:u w:val="single"/>
          <w:lang w:val="en-US" w:eastAsia="zh-CN"/>
        </w:rPr>
        <w:t xml:space="preserve">       蒲城县林业局      </w:t>
      </w:r>
    </w:p>
    <w:p w14:paraId="7A9E6EDD">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lang w:val="en-US" w:eastAsia="zh-CN"/>
        </w:rPr>
        <w:t xml:space="preserve">                        </w:t>
      </w:r>
    </w:p>
    <w:p w14:paraId="3DFB060A">
      <w:pPr>
        <w:spacing w:line="360" w:lineRule="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地址：</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迎宾路南段广电大楼三楼</w:t>
      </w:r>
      <w:r>
        <w:rPr>
          <w:rFonts w:hint="eastAsia" w:ascii="仿宋" w:hAnsi="仿宋" w:eastAsia="仿宋" w:cs="仿宋"/>
          <w:color w:val="auto"/>
          <w:sz w:val="24"/>
          <w:szCs w:val="24"/>
          <w:u w:val="single"/>
          <w:lang w:val="en-US" w:eastAsia="zh-CN"/>
        </w:rPr>
        <w:t xml:space="preserve">    </w:t>
      </w:r>
    </w:p>
    <w:p w14:paraId="78A00CD8">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lang w:val="en-US" w:eastAsia="zh-CN"/>
        </w:rPr>
        <w:t xml:space="preserve">                          </w:t>
      </w:r>
    </w:p>
    <w:p w14:paraId="24A76390">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乙方（全称）：</w:t>
      </w:r>
      <w:r>
        <w:rPr>
          <w:rFonts w:hint="eastAsia" w:ascii="仿宋" w:hAnsi="仿宋" w:eastAsia="仿宋" w:cs="仿宋"/>
          <w:color w:val="auto"/>
          <w:sz w:val="24"/>
          <w:szCs w:val="24"/>
          <w:u w:val="single"/>
          <w:lang w:val="en-US" w:eastAsia="zh-CN"/>
        </w:rPr>
        <w:t xml:space="preserve">                      </w:t>
      </w:r>
    </w:p>
    <w:p w14:paraId="004ECAD4">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lang w:val="en-US" w:eastAsia="zh-CN"/>
        </w:rPr>
        <w:t xml:space="preserve">                        </w:t>
      </w:r>
    </w:p>
    <w:p w14:paraId="04E8FC6F">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地址：</w:t>
      </w:r>
      <w:r>
        <w:rPr>
          <w:rFonts w:hint="eastAsia" w:ascii="仿宋" w:hAnsi="仿宋" w:eastAsia="仿宋" w:cs="仿宋"/>
          <w:color w:val="auto"/>
          <w:sz w:val="24"/>
          <w:szCs w:val="24"/>
          <w:u w:val="single"/>
          <w:lang w:val="en-US" w:eastAsia="zh-CN"/>
        </w:rPr>
        <w:t xml:space="preserve">                              </w:t>
      </w:r>
    </w:p>
    <w:p w14:paraId="3DE1A226">
      <w:pPr>
        <w:spacing w:line="360" w:lineRule="auto"/>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lang w:val="en-US" w:eastAsia="zh-CN"/>
        </w:rPr>
        <w:t xml:space="preserve">                          </w:t>
      </w:r>
    </w:p>
    <w:p w14:paraId="35DC199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鉴于甲方就</w:t>
      </w:r>
      <w:r>
        <w:rPr>
          <w:rFonts w:hint="eastAsia" w:ascii="仿宋" w:hAnsi="仿宋" w:eastAsia="仿宋" w:cs="仿宋"/>
          <w:color w:val="auto"/>
          <w:sz w:val="24"/>
          <w:szCs w:val="24"/>
          <w:u w:val="single"/>
          <w:lang w:val="en-US" w:eastAsia="zh-CN"/>
        </w:rPr>
        <w:t>蒲城县城北防护（康养）林养护管理项目</w:t>
      </w:r>
      <w:r>
        <w:rPr>
          <w:rFonts w:hint="eastAsia" w:ascii="仿宋" w:hAnsi="仿宋" w:eastAsia="仿宋" w:cs="仿宋"/>
          <w:color w:val="auto"/>
          <w:sz w:val="24"/>
          <w:szCs w:val="24"/>
        </w:rPr>
        <w:t>进行政府采购，乙方经合法程序中标，双方经友好协商，根据《中华人民共和国政府采购法》及实施条例、《中华人民共和国民法典》及其他有关法律、法规，遵循平等、自愿、公平和诚信的原则，双方就下述项目范围与相关服务事项协商一致，订立本合同。</w:t>
      </w:r>
    </w:p>
    <w:p w14:paraId="26B5C78A">
      <w:pPr>
        <w:spacing w:line="360" w:lineRule="auto"/>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项目概况</w:t>
      </w:r>
    </w:p>
    <w:p w14:paraId="24E71A85">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1.项目名称：</w:t>
      </w:r>
      <w:r>
        <w:rPr>
          <w:rFonts w:hint="eastAsia" w:ascii="仿宋" w:hAnsi="仿宋" w:eastAsia="仿宋" w:cs="仿宋"/>
          <w:color w:val="auto"/>
          <w:sz w:val="24"/>
          <w:szCs w:val="24"/>
          <w:u w:val="single"/>
          <w:lang w:val="en-US" w:eastAsia="zh-CN"/>
        </w:rPr>
        <w:t>蒲城县城北防护（康养）林养护管理项目（西区）</w:t>
      </w:r>
    </w:p>
    <w:p w14:paraId="422E98C1">
      <w:pPr>
        <w:spacing w:line="360" w:lineRule="auto"/>
        <w:ind w:firstLine="480" w:firstLineChars="200"/>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2.项目地点：</w:t>
      </w:r>
      <w:r>
        <w:rPr>
          <w:rFonts w:hint="eastAsia" w:ascii="仿宋" w:hAnsi="仿宋" w:eastAsia="仿宋" w:cs="仿宋"/>
          <w:color w:val="auto"/>
          <w:sz w:val="24"/>
          <w:szCs w:val="24"/>
          <w:u w:val="single"/>
          <w:lang w:val="en-US" w:eastAsia="zh-CN"/>
        </w:rPr>
        <w:t xml:space="preserve">                                    </w:t>
      </w:r>
    </w:p>
    <w:p w14:paraId="30FF3608">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合同履行期限</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自合同签订之日起一年。</w:t>
      </w:r>
      <w:r>
        <w:rPr>
          <w:rFonts w:hint="eastAsia" w:ascii="仿宋" w:hAnsi="仿宋" w:eastAsia="仿宋" w:cs="仿宋"/>
          <w:color w:val="auto"/>
          <w:sz w:val="24"/>
          <w:szCs w:val="24"/>
          <w:u w:val="single"/>
          <w:lang w:val="en-US" w:eastAsia="zh-CN"/>
        </w:rPr>
        <w:t xml:space="preserve">      </w:t>
      </w:r>
    </w:p>
    <w:p w14:paraId="778E508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蒲城县防护林南至北环路，北至五陵路，西至蒲白运煤专线，东至东城大道。涉及尧山镇、奉先街道、紫荆街道3个镇(街道)，9个行政村，总面积约8502亩。其中林地4320.8亩，园地、道路、管护房、广场、停车场等共计2305.9亩，管护面积共计6626.7亩。</w:t>
      </w:r>
    </w:p>
    <w:p w14:paraId="2868DED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管护内容概况</w:t>
      </w:r>
    </w:p>
    <w:p w14:paraId="77A0FC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32"/>
          <w:lang w:eastAsia="zh-CN"/>
        </w:rPr>
      </w:pPr>
      <w:r>
        <w:rPr>
          <w:rFonts w:hint="eastAsia" w:ascii="仿宋" w:hAnsi="仿宋" w:eastAsia="仿宋" w:cs="仿宋"/>
          <w:color w:val="auto"/>
          <w:sz w:val="24"/>
          <w:szCs w:val="32"/>
        </w:rPr>
        <w:t>本项目管护范围涵盖林地与各类配套设施，具体如下</w:t>
      </w:r>
      <w:r>
        <w:rPr>
          <w:rFonts w:hint="eastAsia" w:ascii="仿宋" w:hAnsi="仿宋" w:eastAsia="仿宋" w:cs="仿宋"/>
          <w:color w:val="auto"/>
          <w:sz w:val="24"/>
          <w:szCs w:val="32"/>
          <w:lang w:eastAsia="zh-CN"/>
        </w:rPr>
        <w:t>：</w:t>
      </w:r>
    </w:p>
    <w:p w14:paraId="19CC90F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highlight w:val="none"/>
        </w:rPr>
      </w:pPr>
      <w:r>
        <w:rPr>
          <w:rFonts w:hint="eastAsia" w:ascii="仿宋" w:hAnsi="仿宋" w:eastAsia="仿宋" w:cs="仿宋"/>
          <w:b/>
          <w:bCs/>
          <w:color w:val="auto"/>
          <w:sz w:val="24"/>
          <w:szCs w:val="32"/>
          <w:highlight w:val="none"/>
        </w:rPr>
        <w:t>1.林地管护</w:t>
      </w:r>
      <w:r>
        <w:rPr>
          <w:rFonts w:hint="eastAsia" w:ascii="仿宋" w:hAnsi="仿宋" w:eastAsia="仿宋" w:cs="仿宋"/>
          <w:b/>
          <w:bCs/>
          <w:color w:val="auto"/>
          <w:sz w:val="24"/>
          <w:szCs w:val="32"/>
          <w:highlight w:val="none"/>
          <w:lang w:eastAsia="zh-CN"/>
        </w:rPr>
        <w:t>：</w:t>
      </w:r>
      <w:r>
        <w:rPr>
          <w:rFonts w:hint="eastAsia" w:ascii="仿宋" w:hAnsi="仿宋" w:eastAsia="仿宋" w:cs="仿宋"/>
          <w:color w:val="auto"/>
          <w:sz w:val="24"/>
          <w:szCs w:val="32"/>
          <w:highlight w:val="none"/>
        </w:rPr>
        <w:t>总面积4320.8亩,分为东区</w:t>
      </w:r>
      <w:r>
        <w:rPr>
          <w:rFonts w:hint="eastAsia" w:ascii="仿宋" w:hAnsi="仿宋" w:eastAsia="仿宋" w:cs="仿宋"/>
          <w:color w:val="auto"/>
          <w:sz w:val="24"/>
          <w:szCs w:val="32"/>
          <w:highlight w:val="none"/>
        </w:rPr>
        <w:t>2104.6亩</w:t>
      </w:r>
      <w:r>
        <w:rPr>
          <w:rFonts w:hint="eastAsia" w:ascii="仿宋" w:hAnsi="仿宋" w:eastAsia="仿宋" w:cs="仿宋"/>
          <w:color w:val="auto"/>
          <w:sz w:val="24"/>
          <w:szCs w:val="32"/>
          <w:highlight w:val="none"/>
        </w:rPr>
        <w:t>(绿植面积为121亩)、西区</w:t>
      </w:r>
      <w:r>
        <w:rPr>
          <w:rFonts w:hint="eastAsia" w:ascii="仿宋" w:hAnsi="仿宋" w:eastAsia="仿宋" w:cs="仿宋"/>
          <w:color w:val="auto"/>
          <w:sz w:val="24"/>
          <w:szCs w:val="32"/>
          <w:highlight w:val="none"/>
        </w:rPr>
        <w:t>2216.2</w:t>
      </w:r>
      <w:r>
        <w:rPr>
          <w:rFonts w:hint="eastAsia" w:ascii="仿宋" w:hAnsi="仿宋" w:eastAsia="仿宋" w:cs="仿宋"/>
          <w:color w:val="auto"/>
          <w:sz w:val="24"/>
          <w:szCs w:val="32"/>
          <w:highlight w:val="none"/>
        </w:rPr>
        <w:t>亩(绿植面积为66亩)。</w:t>
      </w:r>
    </w:p>
    <w:p w14:paraId="59A4E4D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highlight w:val="none"/>
        </w:rPr>
      </w:pPr>
      <w:r>
        <w:rPr>
          <w:rFonts w:hint="eastAsia" w:ascii="仿宋" w:hAnsi="仿宋" w:eastAsia="仿宋" w:cs="仿宋"/>
          <w:b/>
          <w:bCs/>
          <w:color w:val="auto"/>
          <w:sz w:val="24"/>
          <w:szCs w:val="32"/>
          <w:highlight w:val="none"/>
        </w:rPr>
        <w:t>2.基础设施管护</w:t>
      </w:r>
      <w:r>
        <w:rPr>
          <w:rFonts w:hint="eastAsia" w:ascii="仿宋" w:hAnsi="仿宋" w:eastAsia="仿宋" w:cs="仿宋"/>
          <w:b/>
          <w:bCs/>
          <w:color w:val="auto"/>
          <w:sz w:val="24"/>
          <w:szCs w:val="32"/>
          <w:highlight w:val="none"/>
          <w:lang w:eastAsia="zh-CN"/>
        </w:rPr>
        <w:t>：</w:t>
      </w:r>
      <w:r>
        <w:rPr>
          <w:rFonts w:hint="eastAsia" w:ascii="仿宋" w:hAnsi="仿宋" w:eastAsia="仿宋" w:cs="仿宋"/>
          <w:color w:val="auto"/>
          <w:sz w:val="24"/>
          <w:szCs w:val="32"/>
          <w:highlight w:val="none"/>
        </w:rPr>
        <w:t>道路13.8公里，茅草亭子2个，成品管理房5个，成品厕所7个，新建管护房3个，新建厕所1个，休闲坐凳和垃圾桶120套。</w:t>
      </w:r>
    </w:p>
    <w:p w14:paraId="58C76E9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32"/>
        </w:rPr>
      </w:pPr>
      <w:r>
        <w:rPr>
          <w:rFonts w:hint="eastAsia" w:ascii="仿宋" w:hAnsi="仿宋" w:eastAsia="仿宋" w:cs="仿宋"/>
          <w:b/>
          <w:bCs/>
          <w:color w:val="auto"/>
          <w:sz w:val="24"/>
          <w:szCs w:val="32"/>
        </w:rPr>
        <w:t>3.设备设施管护</w:t>
      </w:r>
      <w:r>
        <w:rPr>
          <w:rFonts w:hint="eastAsia" w:ascii="仿宋" w:hAnsi="仿宋" w:eastAsia="仿宋" w:cs="仿宋"/>
          <w:b/>
          <w:bCs/>
          <w:color w:val="auto"/>
          <w:sz w:val="24"/>
          <w:szCs w:val="32"/>
          <w:lang w:eastAsia="zh-CN"/>
        </w:rPr>
        <w:t>：</w:t>
      </w:r>
      <w:r>
        <w:rPr>
          <w:rFonts w:hint="eastAsia" w:ascii="仿宋" w:hAnsi="仿宋" w:eastAsia="仿宋" w:cs="仿宋"/>
          <w:color w:val="auto"/>
          <w:sz w:val="24"/>
          <w:szCs w:val="32"/>
        </w:rPr>
        <w:t>10米太阳能路灯347盏、5米太阳能路灯59盏</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菜地水龙头及水表220套</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监控系统1套</w:t>
      </w:r>
      <w:r>
        <w:rPr>
          <w:rFonts w:hint="eastAsia" w:ascii="仿宋" w:hAnsi="仿宋" w:eastAsia="仿宋" w:cs="仿宋"/>
          <w:color w:val="auto"/>
          <w:sz w:val="24"/>
          <w:szCs w:val="32"/>
          <w:lang w:eastAsia="zh-CN"/>
        </w:rPr>
        <w:t>、机井</w:t>
      </w:r>
      <w:r>
        <w:rPr>
          <w:rFonts w:hint="eastAsia" w:ascii="仿宋" w:hAnsi="仿宋" w:eastAsia="仿宋" w:cs="仿宋"/>
          <w:color w:val="auto"/>
          <w:sz w:val="24"/>
          <w:szCs w:val="32"/>
          <w:lang w:val="en-US" w:eastAsia="zh-CN"/>
        </w:rPr>
        <w:t>水泵1套、60KV变压器1套</w:t>
      </w:r>
      <w:r>
        <w:rPr>
          <w:rFonts w:hint="eastAsia" w:ascii="仿宋" w:hAnsi="仿宋" w:eastAsia="仿宋" w:cs="仿宋"/>
          <w:color w:val="auto"/>
          <w:sz w:val="24"/>
          <w:szCs w:val="32"/>
        </w:rPr>
        <w:t>。</w:t>
      </w:r>
    </w:p>
    <w:p w14:paraId="13F998A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（二）西区管护范围</w:t>
      </w:r>
      <w:bookmarkStart w:id="0" w:name="_GoBack"/>
      <w:bookmarkEnd w:id="0"/>
    </w:p>
    <w:p w14:paraId="2D94BD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32"/>
        </w:rPr>
      </w:pPr>
      <w:r>
        <w:rPr>
          <w:rFonts w:hint="eastAsia" w:ascii="仿宋" w:hAnsi="仿宋" w:eastAsia="仿宋" w:cs="仿宋"/>
          <w:color w:val="auto"/>
          <w:sz w:val="24"/>
          <w:szCs w:val="32"/>
        </w:rPr>
        <w:t>西区管护范围</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南至北环路，北至五陵路，西至蒲白运煤专线，东至太和村进村路。管护面积</w:t>
      </w:r>
      <w:r>
        <w:rPr>
          <w:rFonts w:hint="eastAsia" w:ascii="仿宋" w:hAnsi="仿宋" w:eastAsia="仿宋" w:cs="仿宋"/>
          <w:color w:val="auto"/>
          <w:sz w:val="24"/>
          <w:szCs w:val="32"/>
          <w:highlight w:val="none"/>
        </w:rPr>
        <w:t>为3328.4亩，林地面积</w:t>
      </w:r>
      <w:r>
        <w:rPr>
          <w:rFonts w:hint="eastAsia" w:ascii="仿宋" w:hAnsi="仿宋" w:eastAsia="仿宋" w:cs="仿宋"/>
          <w:color w:val="auto"/>
          <w:sz w:val="24"/>
          <w:szCs w:val="32"/>
        </w:rPr>
        <w:t>2216.2</w:t>
      </w:r>
      <w:r>
        <w:rPr>
          <w:rFonts w:hint="eastAsia" w:ascii="仿宋" w:hAnsi="仿宋" w:eastAsia="仿宋" w:cs="仿宋"/>
          <w:color w:val="auto"/>
          <w:sz w:val="24"/>
          <w:szCs w:val="32"/>
          <w:highlight w:val="none"/>
        </w:rPr>
        <w:t>亩(含绿植面积</w:t>
      </w:r>
      <w:r>
        <w:rPr>
          <w:rFonts w:hint="eastAsia" w:ascii="仿宋" w:hAnsi="仿宋" w:eastAsia="仿宋" w:cs="仿宋"/>
          <w:color w:val="auto"/>
          <w:sz w:val="24"/>
          <w:szCs w:val="32"/>
          <w:highlight w:val="none"/>
          <w:lang w:val="en-US" w:eastAsia="zh-CN"/>
        </w:rPr>
        <w:t>66</w:t>
      </w:r>
      <w:r>
        <w:rPr>
          <w:rFonts w:hint="eastAsia" w:ascii="仿宋" w:hAnsi="仿宋" w:eastAsia="仿宋" w:cs="仿宋"/>
          <w:color w:val="auto"/>
          <w:sz w:val="24"/>
          <w:szCs w:val="32"/>
          <w:highlight w:val="none"/>
        </w:rPr>
        <w:t>亩)，</w:t>
      </w:r>
      <w:r>
        <w:rPr>
          <w:rFonts w:hint="eastAsia" w:ascii="仿宋" w:hAnsi="仿宋" w:eastAsia="仿宋" w:cs="仿宋"/>
          <w:color w:val="auto"/>
          <w:sz w:val="24"/>
          <w:szCs w:val="32"/>
        </w:rPr>
        <w:t>道路5.4公里</w:t>
      </w:r>
      <w:r>
        <w:rPr>
          <w:rFonts w:hint="eastAsia" w:ascii="仿宋" w:hAnsi="仿宋" w:eastAsia="仿宋" w:cs="仿宋"/>
          <w:color w:val="auto"/>
          <w:sz w:val="24"/>
          <w:szCs w:val="32"/>
          <w:lang w:eastAsia="zh-CN"/>
        </w:rPr>
        <w:t>；</w:t>
      </w:r>
      <w:r>
        <w:rPr>
          <w:rFonts w:hint="eastAsia" w:ascii="仿宋" w:hAnsi="仿宋" w:eastAsia="仿宋" w:cs="仿宋"/>
          <w:color w:val="auto"/>
          <w:sz w:val="24"/>
          <w:szCs w:val="32"/>
        </w:rPr>
        <w:t>负责成品管理房5个、成品厕所</w:t>
      </w:r>
      <w:r>
        <w:rPr>
          <w:rFonts w:hint="eastAsia" w:ascii="仿宋" w:hAnsi="仿宋" w:eastAsia="仿宋" w:cs="仿宋"/>
          <w:color w:val="auto"/>
          <w:sz w:val="24"/>
          <w:szCs w:val="32"/>
          <w:lang w:val="en-US" w:eastAsia="zh-CN"/>
        </w:rPr>
        <w:t>4</w:t>
      </w:r>
      <w:r>
        <w:rPr>
          <w:rFonts w:hint="eastAsia" w:ascii="仿宋" w:hAnsi="仿宋" w:eastAsia="仿宋" w:cs="仿宋"/>
          <w:color w:val="auto"/>
          <w:sz w:val="24"/>
          <w:szCs w:val="32"/>
        </w:rPr>
        <w:t>个、茅草亭子2个，休闲坐凳和垃圾桶</w:t>
      </w:r>
      <w:r>
        <w:rPr>
          <w:rFonts w:hint="eastAsia" w:ascii="仿宋" w:hAnsi="仿宋" w:eastAsia="仿宋" w:cs="仿宋"/>
          <w:color w:val="auto"/>
          <w:sz w:val="24"/>
          <w:szCs w:val="32"/>
          <w:lang w:val="en-US" w:eastAsia="zh-CN"/>
        </w:rPr>
        <w:t>50</w:t>
      </w:r>
      <w:r>
        <w:rPr>
          <w:rFonts w:hint="eastAsia" w:ascii="仿宋" w:hAnsi="仿宋" w:eastAsia="仿宋" w:cs="仿宋"/>
          <w:color w:val="auto"/>
          <w:sz w:val="24"/>
          <w:szCs w:val="32"/>
        </w:rPr>
        <w:t>套，太阳能路灯124盏。</w:t>
      </w:r>
    </w:p>
    <w:p w14:paraId="7882A2C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主要养护管理内容</w:t>
      </w:r>
    </w:p>
    <w:p w14:paraId="6E19B0C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树木修剪养护。</w:t>
      </w:r>
    </w:p>
    <w:p w14:paraId="2C901E9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依据“因树修剪、随枝作形、平衡树势、促进生长”的原则，在林木休眠期(晚秋至早春)，对枯死枝、病虫枝、衰弱枝、过密交叉枝、下垂妨碍枝等进行养护修剪</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对景观要求较高的路段或节点林木进行适度整形，对靠近电力线路、交通标志、建筑物等的林木枝条及时清理，科学合理浇水养护，水肥“浇透”有效，优化林分结构，保持林木健康形态，保证树木生长良好</w:t>
      </w:r>
      <w:r>
        <w:rPr>
          <w:rFonts w:hint="eastAsia" w:ascii="仿宋" w:hAnsi="仿宋" w:eastAsia="仿宋" w:cs="仿宋"/>
          <w:b w:val="0"/>
          <w:bCs w:val="0"/>
          <w:color w:val="auto"/>
          <w:sz w:val="24"/>
          <w:szCs w:val="24"/>
          <w:lang w:eastAsia="zh-CN"/>
        </w:rPr>
        <w:t>。</w:t>
      </w:r>
    </w:p>
    <w:p w14:paraId="76ECBE4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森林防火管理。</w:t>
      </w:r>
    </w:p>
    <w:p w14:paraId="18FB1D1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rPr>
        <w:t>加强城北防护(康养)林及周边巡逻</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防火期(10月1日--次年4月30日)严禁携带火种进入林区</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严禁在林内及边缘地带吸烟、野炊、烧荒、燃放烟花爆竹等一切</w:t>
      </w:r>
      <w:r>
        <w:rPr>
          <w:rFonts w:hint="eastAsia" w:ascii="仿宋" w:hAnsi="仿宋" w:eastAsia="仿宋" w:cs="仿宋"/>
          <w:b w:val="0"/>
          <w:bCs w:val="0"/>
          <w:color w:val="auto"/>
          <w:sz w:val="24"/>
          <w:szCs w:val="24"/>
          <w:lang w:val="en-US" w:eastAsia="zh-CN"/>
        </w:rPr>
        <w:t>野外用火行为。及时清理林下、林缘、防火隔离带内的枯枝落叶、杂草等可燃物。加强与周边村组的联防联控，宣传防火知识，提高公众防火意识。完善森林火灾应急预案，确保防火物资充足有效。</w:t>
      </w:r>
    </w:p>
    <w:p w14:paraId="5C61DCE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3.基础设施维护与管理。</w:t>
      </w:r>
    </w:p>
    <w:p w14:paraId="217DDE8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保持林内巡护道路、防火通道的畅通。定期对道路两侧的杂草、灌木进行清理。对防护(康养)林内的宣传牌、警示牌、果桩、围栏、监控杆塔等设施进行定期巡检、加固。对供配电、供水设施进行安全检查，防止漏电、漏水安全隐患。</w:t>
      </w:r>
    </w:p>
    <w:p w14:paraId="033F654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4.病虫害防治和野生动植物保护。</w:t>
      </w:r>
    </w:p>
    <w:p w14:paraId="6AD48B9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贯彻“预防为主，综合治理”的方针，加强病虫害监测，定期开展防寒、防虫刷白作业，科学安全使用药物防治，保护生态环境和人畜安全。保护林内野生动植物，维护生物多样性，发现破坏林木和猎捕野生动物行为及时制止和报告主管单位。</w:t>
      </w:r>
    </w:p>
    <w:p w14:paraId="44D8F35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5.环境卫生保洁。</w:t>
      </w:r>
    </w:p>
    <w:p w14:paraId="5652FDC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定期清除城北防护(康养)林内道路及两侧、固定垃圾桶、市民健身娱乐区的生活垃圾，对垃圾堆到重点区域进行定期巡查监督，及时清运林内垃圾、废弃物，保持林区环境卫生整洁舒适。</w:t>
      </w:r>
    </w:p>
    <w:p w14:paraId="6E42782E">
      <w:pPr>
        <w:pStyle w:val="2"/>
        <w:keepNext w:val="0"/>
        <w:keepLines w:val="0"/>
        <w:widowControl/>
        <w:suppressLineNumbers w:val="0"/>
        <w:ind w:firstLine="482"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养护管理标准</w:t>
      </w:r>
    </w:p>
    <w:p w14:paraId="04F1C05C">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林木成活率：养护期间，原有林木成活率不低于</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%；新增补植林木（如需要）成活率不低于</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w:t>
      </w:r>
    </w:p>
    <w:p w14:paraId="3A03F73C">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病虫害防治：病虫害发生率控制在</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%以下，不发生大面积、突发性病虫害灾害；防治后病虫害得到有效控制，林木生长不受严重影响。</w:t>
      </w:r>
    </w:p>
    <w:p w14:paraId="3ECA787D">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防火要求：养护期间不发生一般及以上森林火灾；防火设施完好率不低于</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%，防火隔离带保持畅通、无易燃物堆积。</w:t>
      </w:r>
    </w:p>
    <w:p w14:paraId="5603D9A5">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设施维护：林业基础设施完好率不低于</w:t>
      </w:r>
      <w:r>
        <w:rPr>
          <w:rFonts w:hint="eastAsia" w:ascii="仿宋" w:hAnsi="仿宋" w:eastAsia="仿宋" w:cs="仿宋"/>
          <w:i/>
          <w:iCs/>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%，损坏设施在</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日内完成修复（特殊情况除外）。</w:t>
      </w:r>
    </w:p>
    <w:p w14:paraId="3787879E">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林地整洁：养护范围内无大面积杂草丛生（杂草高度不超过</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厘米），无明显垃圾、废弃物堆积。</w:t>
      </w:r>
    </w:p>
    <w:p w14:paraId="020DBC89">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具体养护管理标准可根据当地林业主管部门相关规定及甲方特殊要求进行调整。</w:t>
      </w:r>
    </w:p>
    <w:p w14:paraId="6D1F08A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组成本合同的文件</w:t>
      </w:r>
    </w:p>
    <w:p w14:paraId="42F6DB4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1.协议书；</w:t>
      </w:r>
    </w:p>
    <w:p w14:paraId="59C97FF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2.中标通知书、投标文件、招标文件、澄清、招标补充文件；</w:t>
      </w:r>
    </w:p>
    <w:p w14:paraId="05F9AF9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3.相关服务建议书；</w:t>
      </w:r>
    </w:p>
    <w:p w14:paraId="147D4B0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本合同签订后，双方依法签订的补充协议也是本合同文件的组成部分。</w:t>
      </w:r>
    </w:p>
    <w:p w14:paraId="0E9B45C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rPr>
        <w:t>养护管理费用及支付方式</w:t>
      </w:r>
    </w:p>
    <w:p w14:paraId="13AA64C0">
      <w:pPr>
        <w:spacing w:line="360" w:lineRule="auto"/>
        <w:ind w:firstLine="480" w:firstLineChars="200"/>
        <w:rPr>
          <w:rFonts w:hint="eastAsia"/>
          <w:color w:val="auto"/>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合同形式：总价合同</w:t>
      </w:r>
    </w:p>
    <w:p w14:paraId="0BE5F1B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总价合同为本次服务要求内容且验收合格的所有费用</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包括但不限于</w:t>
      </w:r>
      <w:r>
        <w:rPr>
          <w:rFonts w:hint="eastAsia" w:ascii="仿宋" w:hAnsi="仿宋" w:eastAsia="仿宋" w:cs="仿宋"/>
          <w:color w:val="auto"/>
          <w:kern w:val="0"/>
          <w:sz w:val="24"/>
          <w:szCs w:val="24"/>
          <w:lang w:val="en-US" w:eastAsia="zh-CN" w:bidi="ar"/>
        </w:rPr>
        <w:t>人工、材料、设备、运输、保险、税费等乙方开展养护管理工作所需的全部费用。</w:t>
      </w:r>
    </w:p>
    <w:p w14:paraId="17660AB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2.养护管理费用：本合同项下年度养护管理费用为人民币</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元（大写：     ）</w:t>
      </w:r>
    </w:p>
    <w:p w14:paraId="53A4E4F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3.支付方式：</w:t>
      </w:r>
      <w:r>
        <w:rPr>
          <w:rFonts w:hint="eastAsia" w:ascii="仿宋" w:hAnsi="仿宋" w:eastAsia="仿宋" w:cs="仿宋"/>
          <w:color w:val="auto"/>
          <w:sz w:val="24"/>
          <w:szCs w:val="24"/>
          <w:lang w:val="en-US" w:eastAsia="zh-CN"/>
        </w:rPr>
        <w:t>合同签订后</w:t>
      </w:r>
      <w:r>
        <w:rPr>
          <w:rFonts w:hint="eastAsia" w:ascii="仿宋" w:hAnsi="仿宋" w:eastAsia="仿宋" w:cs="仿宋"/>
          <w:color w:val="auto"/>
          <w:sz w:val="24"/>
          <w:szCs w:val="24"/>
        </w:rPr>
        <w:t>，甲方向乙方支付合同总金额的</w:t>
      </w:r>
      <w:r>
        <w:rPr>
          <w:rFonts w:hint="eastAsia" w:ascii="仿宋" w:hAnsi="仿宋" w:eastAsia="仿宋" w:cs="仿宋"/>
          <w:color w:val="auto"/>
          <w:sz w:val="24"/>
          <w:szCs w:val="24"/>
          <w:lang w:val="en-US" w:eastAsia="zh-CN"/>
        </w:rPr>
        <w:t>40</w:t>
      </w:r>
      <w:r>
        <w:rPr>
          <w:rFonts w:hint="eastAsia" w:ascii="仿宋" w:hAnsi="仿宋" w:eastAsia="仿宋" w:cs="仿宋"/>
          <w:color w:val="auto"/>
          <w:sz w:val="24"/>
          <w:szCs w:val="24"/>
        </w:rPr>
        <w:t>%作为预付款，待乙方完成本项目的所有</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内容后，甲方向乙方支付合同总金额的4</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%，甲方组织</w:t>
      </w:r>
      <w:r>
        <w:rPr>
          <w:rFonts w:hint="eastAsia" w:ascii="仿宋" w:hAnsi="仿宋" w:eastAsia="仿宋" w:cs="仿宋"/>
          <w:color w:val="auto"/>
          <w:sz w:val="24"/>
          <w:szCs w:val="24"/>
          <w:lang w:val="en-US" w:eastAsia="zh-CN"/>
        </w:rPr>
        <w:t>考评</w:t>
      </w:r>
      <w:r>
        <w:rPr>
          <w:rFonts w:hint="eastAsia" w:ascii="仿宋" w:hAnsi="仿宋" w:eastAsia="仿宋" w:cs="仿宋"/>
          <w:color w:val="auto"/>
          <w:sz w:val="24"/>
          <w:szCs w:val="24"/>
        </w:rPr>
        <w:t>验收，验收合格后，乙方提交付款申请后，甲方向乙方支付合同总金额的20%</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甲方根据对乙方的考核标准支付相应比例的款项</w:t>
      </w:r>
      <w:r>
        <w:rPr>
          <w:rFonts w:hint="eastAsia" w:ascii="仿宋" w:hAnsi="仿宋" w:eastAsia="仿宋" w:cs="仿宋"/>
          <w:color w:val="auto"/>
          <w:sz w:val="24"/>
          <w:szCs w:val="24"/>
          <w:lang w:eastAsia="zh-CN"/>
        </w:rPr>
        <w:t>）。</w:t>
      </w:r>
    </w:p>
    <w:p w14:paraId="304B6261">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4.如因养护范围扩大、养护标准提高等甲方原因导致乙方养护成本增加，双方应另行协商增加养护费用，签订补充协议。</w:t>
      </w:r>
    </w:p>
    <w:p w14:paraId="28DBF2B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五、</w:t>
      </w:r>
      <w:r>
        <w:rPr>
          <w:rFonts w:hint="eastAsia" w:ascii="仿宋" w:hAnsi="仿宋" w:eastAsia="仿宋" w:cs="仿宋"/>
          <w:color w:val="auto"/>
          <w:sz w:val="24"/>
          <w:szCs w:val="24"/>
        </w:rPr>
        <w:t>双方权利与义务</w:t>
      </w:r>
    </w:p>
    <w:p w14:paraId="2A5FF4D2">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甲方权利与义务</w:t>
      </w:r>
    </w:p>
    <w:p w14:paraId="0C7EA087">
      <w:pPr>
        <w:keepNext w:val="0"/>
        <w:keepLines w:val="0"/>
        <w:widowControl/>
        <w:suppressLineNumbers w:val="0"/>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bCs/>
          <w:color w:val="auto"/>
          <w:kern w:val="0"/>
          <w:sz w:val="24"/>
          <w:szCs w:val="24"/>
          <w:lang w:val="en-US" w:eastAsia="zh-CN" w:bidi="ar"/>
        </w:rPr>
        <w:t>权利：</w:t>
      </w:r>
      <w:r>
        <w:rPr>
          <w:rFonts w:hint="eastAsia" w:ascii="仿宋" w:hAnsi="仿宋" w:eastAsia="仿宋" w:cs="仿宋"/>
          <w:color w:val="auto"/>
          <w:kern w:val="0"/>
          <w:sz w:val="24"/>
          <w:szCs w:val="24"/>
          <w:lang w:val="en-US" w:eastAsia="zh-CN" w:bidi="ar"/>
        </w:rPr>
        <w:t>对乙方养护管理工作进行监督、检查和考核；要求乙方按照合同约定及养护标准开展工作，对不符合要求的工作有权要求乙方限期整改；查阅乙方养护管理工作记录及相关资料；在乙方严重违约时，有权解除合同并要求承担违约责任。</w:t>
      </w:r>
    </w:p>
    <w:p w14:paraId="57F0FB85">
      <w:pPr>
        <w:keepNext w:val="0"/>
        <w:keepLines w:val="0"/>
        <w:widowControl/>
        <w:suppressLineNumbers w:val="0"/>
        <w:spacing w:line="360" w:lineRule="auto"/>
        <w:ind w:firstLine="482" w:firstLineChars="200"/>
        <w:jc w:val="left"/>
        <w:rPr>
          <w:rFonts w:hint="eastAsia" w:ascii="仿宋" w:hAnsi="仿宋" w:eastAsia="仿宋" w:cs="仿宋"/>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t>义务：</w:t>
      </w:r>
      <w:r>
        <w:rPr>
          <w:rFonts w:hint="eastAsia" w:ascii="仿宋" w:hAnsi="仿宋" w:eastAsia="仿宋" w:cs="仿宋"/>
          <w:color w:val="auto"/>
          <w:kern w:val="0"/>
          <w:sz w:val="24"/>
          <w:szCs w:val="24"/>
          <w:lang w:val="en-US" w:eastAsia="zh-CN" w:bidi="ar"/>
        </w:rPr>
        <w:t>向乙方提供养护范围的详细图纸、林木清单、设施清单等相关资料；协助乙方办理养护管理所需的相关手续（如需要），协调乙方与当地政府、村民及相关部门的关系；按照合同约定及时支付养护管理费用；对乙方提出的合理养护建议及需要甲方配合的事项，及时予以回应和配合。</w:t>
      </w:r>
    </w:p>
    <w:p w14:paraId="59B78200">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甲方项目负责人：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，身份证号：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p>
    <w:p w14:paraId="247E4FD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乙方权利与义务</w:t>
      </w:r>
    </w:p>
    <w:p w14:paraId="53E76314">
      <w:pPr>
        <w:keepNext w:val="0"/>
        <w:keepLines w:val="0"/>
        <w:widowControl/>
        <w:suppressLineNumbers w:val="0"/>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bCs/>
          <w:color w:val="auto"/>
          <w:kern w:val="0"/>
          <w:sz w:val="24"/>
          <w:szCs w:val="24"/>
          <w:lang w:val="en-US" w:eastAsia="zh-CN" w:bidi="ar"/>
        </w:rPr>
        <w:t>权利：</w:t>
      </w:r>
      <w:r>
        <w:rPr>
          <w:rFonts w:hint="eastAsia" w:ascii="仿宋" w:hAnsi="仿宋" w:eastAsia="仿宋" w:cs="仿宋"/>
          <w:color w:val="auto"/>
          <w:kern w:val="0"/>
          <w:sz w:val="24"/>
          <w:szCs w:val="24"/>
          <w:lang w:val="en-US" w:eastAsia="zh-CN" w:bidi="ar"/>
        </w:rPr>
        <w:t>按照合同约定开展养护管理工作，有权要求甲方提供必要的工作条件和相关资料；按照合同约定按时足额收取养护管理费用；在甲方未按约定支付费用时，有权要求甲方支付并追究违约责任；在养护工作中发现重大问题（如大面积病虫害、严重火情隐患、非法破坏行为等），有权要求甲方及相关部门及时处理。</w:t>
      </w:r>
    </w:p>
    <w:p w14:paraId="18BAE19E">
      <w:pPr>
        <w:keepNext w:val="0"/>
        <w:keepLines w:val="0"/>
        <w:widowControl/>
        <w:suppressLineNumbers w:val="0"/>
        <w:spacing w:line="360" w:lineRule="auto"/>
        <w:ind w:firstLine="482" w:firstLineChars="200"/>
        <w:jc w:val="left"/>
        <w:rPr>
          <w:rFonts w:hint="eastAsia" w:ascii="仿宋" w:hAnsi="仿宋" w:eastAsia="仿宋" w:cs="仿宋"/>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t>义务：</w:t>
      </w:r>
      <w:r>
        <w:rPr>
          <w:rFonts w:hint="eastAsia" w:ascii="仿宋" w:hAnsi="仿宋" w:eastAsia="仿宋" w:cs="仿宋"/>
          <w:color w:val="auto"/>
          <w:kern w:val="0"/>
          <w:sz w:val="24"/>
          <w:szCs w:val="24"/>
          <w:lang w:val="en-US" w:eastAsia="zh-CN" w:bidi="ar"/>
        </w:rPr>
        <w:t>配备足够的专业技术人员、工具设备开展养护管理工作；建立健全养护管理工作制度，做好养护巡查记录、病虫害防治记录、设施维护记录等工作台账，每月向甲方提交一次养护工作月报，每年提交一次年度养护工作总结；严格遵守相关法律法规及养护标准，文明施工、安全作业，确保养护过程中不损害第三方合法权益，如因乙方原因造成第三方人身或财产损失，由乙方承担全部责任；接受甲方及林业主管部门的监督检查，对提出的整改要求及时落实；养护期间如发生森林火灾、大面积病虫害等突发事件，应第一时间采取应急措施并立即报告甲方及相关部门；合同期满或合同解除时，按照甲方要求办理养护范围内的资产、资料交接手续，确保交接内容完整、完好。</w:t>
      </w:r>
    </w:p>
    <w:p w14:paraId="6D27DDE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乙方派出一名项目负责人/主管负责人和一名临时负责人，负责日常服务工作检查和服务管理工作及紧急情况的处理。</w:t>
      </w:r>
    </w:p>
    <w:p w14:paraId="194DF93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项目负责人/主管负责人：</w:t>
      </w:r>
      <w:r>
        <w:rPr>
          <w:rFonts w:hint="eastAsia" w:ascii="仿宋" w:hAnsi="仿宋" w:eastAsia="仿宋" w:cs="仿宋"/>
          <w:color w:val="auto"/>
          <w:sz w:val="24"/>
          <w:szCs w:val="24"/>
          <w:u w:val="single"/>
        </w:rPr>
        <w:t>（姓名）</w:t>
      </w:r>
      <w:r>
        <w:rPr>
          <w:rFonts w:hint="eastAsia" w:ascii="仿宋" w:hAnsi="仿宋" w:eastAsia="仿宋" w:cs="仿宋"/>
          <w:color w:val="auto"/>
          <w:sz w:val="24"/>
          <w:szCs w:val="24"/>
        </w:rPr>
        <w:t>，身份证号：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w:t>
      </w:r>
    </w:p>
    <w:p w14:paraId="707C5E7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临时负责人：</w:t>
      </w:r>
      <w:r>
        <w:rPr>
          <w:rFonts w:hint="eastAsia" w:ascii="仿宋" w:hAnsi="仿宋" w:eastAsia="仿宋" w:cs="仿宋"/>
          <w:color w:val="auto"/>
          <w:sz w:val="24"/>
          <w:szCs w:val="24"/>
          <w:u w:val="single"/>
        </w:rPr>
        <w:t>（姓名）</w:t>
      </w:r>
      <w:r>
        <w:rPr>
          <w:rFonts w:hint="eastAsia" w:ascii="仿宋" w:hAnsi="仿宋" w:eastAsia="仿宋" w:cs="仿宋"/>
          <w:color w:val="auto"/>
          <w:sz w:val="24"/>
          <w:szCs w:val="24"/>
        </w:rPr>
        <w:t>，身份证号：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w:t>
      </w:r>
    </w:p>
    <w:p w14:paraId="5080F7B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default" w:ascii="仿宋" w:hAnsi="仿宋" w:eastAsia="仿宋" w:cs="仿宋"/>
          <w:color w:val="auto"/>
          <w:sz w:val="24"/>
          <w:szCs w:val="24"/>
          <w:lang w:val="en-US"/>
        </w:rPr>
      </w:pPr>
      <w:r>
        <w:rPr>
          <w:rFonts w:hint="eastAsia" w:ascii="仿宋" w:hAnsi="仿宋" w:eastAsia="仿宋" w:cs="仿宋"/>
          <w:color w:val="auto"/>
          <w:sz w:val="24"/>
          <w:szCs w:val="24"/>
          <w:lang w:val="en-US" w:eastAsia="zh-CN"/>
        </w:rPr>
        <w:t>六、养护管理考核</w:t>
      </w:r>
    </w:p>
    <w:p w14:paraId="7556F094">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1.甲方每月对乙方养护管理工作进行一次日常考核，每年度进行一次综合考核，考核标准参照本合同第三条约定的养护管理标准及附件二执行。</w:t>
      </w:r>
    </w:p>
    <w:p w14:paraId="6E3227F6">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考核合格的，甲方按合同约定支付养护费用；考核不合格的，甲方有权要求乙方限期整改，整改期间不支付相应养护费用；整改后仍不合格的，甲方有权扣除相应比例的养护费用（扣除比例根据不合格程度双方协商确定，最低不低于当期费用的</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%），情节严重的，甲方有权解除合同并要求乙方承担违约责任。</w:t>
      </w:r>
    </w:p>
    <w:p w14:paraId="75CD279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七、</w:t>
      </w:r>
      <w:r>
        <w:rPr>
          <w:rFonts w:hint="eastAsia" w:ascii="仿宋" w:hAnsi="仿宋" w:eastAsia="仿宋" w:cs="仿宋"/>
          <w:color w:val="auto"/>
          <w:sz w:val="24"/>
          <w:szCs w:val="24"/>
        </w:rPr>
        <w:t>违约责任</w:t>
      </w:r>
    </w:p>
    <w:p w14:paraId="284D3696">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乙方未按合同约定及养护标准开展养护工作，导致林木成活率低于约定标准、发生病虫害灾害、森林火灾或设施损坏等情况的，乙方应承担修复、补植责任，所需费用由乙方承担；同时，甲方有权扣除相应养护费用，情节严重的，甲方有权解除合同并要求乙方支付合同总费用</w:t>
      </w:r>
      <w:r>
        <w:rPr>
          <w:rFonts w:hint="eastAsia" w:ascii="仿宋" w:hAnsi="仿宋" w:eastAsia="仿宋" w:cs="仿宋"/>
          <w:color w:val="auto"/>
          <w:kern w:val="0"/>
          <w:sz w:val="24"/>
          <w:szCs w:val="24"/>
          <w:u w:val="single"/>
          <w:lang w:val="en-US" w:eastAsia="zh-CN" w:bidi="ar"/>
        </w:rPr>
        <w:t xml:space="preserve">    10    </w:t>
      </w:r>
      <w:r>
        <w:rPr>
          <w:rFonts w:hint="eastAsia" w:ascii="仿宋" w:hAnsi="仿宋" w:eastAsia="仿宋" w:cs="仿宋"/>
          <w:color w:val="auto"/>
          <w:kern w:val="0"/>
          <w:sz w:val="24"/>
          <w:szCs w:val="24"/>
          <w:lang w:val="en-US" w:eastAsia="zh-CN" w:bidi="ar"/>
        </w:rPr>
        <w:t>%的违约金；如造成甲方其他损失的，乙方应予以赔偿。</w:t>
      </w:r>
    </w:p>
    <w:p w14:paraId="2809A4AE">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2.乙方擅自扩大养护范围、改变养护内容或转包、分包养护工作的，甲方有权解除合同，乙方应退还甲方已支付的全部费用，并支付合同总费用</w:t>
      </w:r>
      <w:r>
        <w:rPr>
          <w:rFonts w:hint="eastAsia" w:ascii="仿宋" w:hAnsi="仿宋" w:eastAsia="仿宋" w:cs="仿宋"/>
          <w:color w:val="auto"/>
          <w:kern w:val="0"/>
          <w:sz w:val="24"/>
          <w:szCs w:val="24"/>
          <w:u w:val="single"/>
          <w:lang w:val="en-US" w:eastAsia="zh-CN" w:bidi="ar"/>
        </w:rPr>
        <w:t xml:space="preserve">    15   </w:t>
      </w:r>
      <w:r>
        <w:rPr>
          <w:rFonts w:hint="eastAsia" w:ascii="仿宋" w:hAnsi="仿宋" w:eastAsia="仿宋" w:cs="仿宋"/>
          <w:color w:val="auto"/>
          <w:kern w:val="0"/>
          <w:sz w:val="24"/>
          <w:szCs w:val="24"/>
          <w:lang w:val="en-US" w:eastAsia="zh-CN" w:bidi="ar"/>
        </w:rPr>
        <w:t>%的违约金；如造成甲方损失的，乙方应予以赔偿。</w:t>
      </w:r>
    </w:p>
    <w:p w14:paraId="5903CB2C">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3.因不可抗力（如地震、洪水、台风等自然灾害）导致本合同无法履行或无法完全履行的，双方互不承担违约责任，但应在不可抗力发生后</w:t>
      </w:r>
      <w:r>
        <w:rPr>
          <w:rFonts w:hint="eastAsia" w:ascii="仿宋" w:hAnsi="仿宋" w:eastAsia="仿宋" w:cs="仿宋"/>
          <w:color w:val="auto"/>
          <w:kern w:val="0"/>
          <w:sz w:val="24"/>
          <w:szCs w:val="24"/>
          <w:u w:val="single"/>
          <w:lang w:val="en-US" w:eastAsia="zh-CN" w:bidi="ar"/>
        </w:rPr>
        <w:t xml:space="preserve">     3     </w:t>
      </w:r>
      <w:r>
        <w:rPr>
          <w:rFonts w:hint="eastAsia" w:ascii="仿宋" w:hAnsi="仿宋" w:eastAsia="仿宋" w:cs="仿宋"/>
          <w:color w:val="auto"/>
          <w:kern w:val="0"/>
          <w:sz w:val="24"/>
          <w:szCs w:val="24"/>
          <w:lang w:val="en-US" w:eastAsia="zh-CN" w:bidi="ar"/>
        </w:rPr>
        <w:t>日内及时通知对方，并在不可抗力消除后</w:t>
      </w:r>
      <w:r>
        <w:rPr>
          <w:rFonts w:hint="eastAsia" w:ascii="仿宋" w:hAnsi="仿宋" w:eastAsia="仿宋" w:cs="仿宋"/>
          <w:color w:val="auto"/>
          <w:kern w:val="0"/>
          <w:sz w:val="24"/>
          <w:szCs w:val="24"/>
          <w:u w:val="single"/>
          <w:lang w:val="en-US" w:eastAsia="zh-CN" w:bidi="ar"/>
        </w:rPr>
        <w:t xml:space="preserve">   15     </w:t>
      </w:r>
      <w:r>
        <w:rPr>
          <w:rFonts w:hint="eastAsia" w:ascii="仿宋" w:hAnsi="仿宋" w:eastAsia="仿宋" w:cs="仿宋"/>
          <w:color w:val="auto"/>
          <w:kern w:val="0"/>
          <w:sz w:val="24"/>
          <w:szCs w:val="24"/>
          <w:lang w:val="en-US" w:eastAsia="zh-CN" w:bidi="ar"/>
        </w:rPr>
        <w:t>日内协商后续处理事宜。</w:t>
      </w:r>
    </w:p>
    <w:p w14:paraId="6C214C9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八、</w:t>
      </w:r>
      <w:r>
        <w:rPr>
          <w:rFonts w:hint="eastAsia" w:ascii="仿宋" w:hAnsi="仿宋" w:eastAsia="仿宋" w:cs="仿宋"/>
          <w:color w:val="auto"/>
          <w:sz w:val="24"/>
          <w:szCs w:val="24"/>
        </w:rPr>
        <w:t>合同的变更、解除与终止</w:t>
      </w:r>
    </w:p>
    <w:p w14:paraId="1089B943">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1.本合同的变更、补充需经双方协商一致，并签订书面补充协议，补充协议与本合同具有同等法律效力。</w:t>
      </w:r>
    </w:p>
    <w:p w14:paraId="7197E87C">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2.发生本合同约定的解除情形或法律规定的解除情形时，有权解除合同的一方应书面通知对方，合同自通知到达对方时解除。</w:t>
      </w:r>
    </w:p>
    <w:p w14:paraId="593162D1">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3.合同期满、双方协商一致解除合同或依法解除合同的，本合同终止。合同终止后，双方应在</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日内办理完毕养护资产、资料的交接手续，甲方应支付乙方已完成养护工作的相应费用（扣除应扣除的部分）。</w:t>
      </w:r>
    </w:p>
    <w:p w14:paraId="377687C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rPr>
        <w:t>争议解决方式</w:t>
      </w:r>
    </w:p>
    <w:p w14:paraId="6107CEB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（一）双方本着友好合作的态度，对本合同在履行过程中发生的争议或纠纷，由甲、乙双方当事人及时协商解决，协商不成的按下列第2种方式解决：</w:t>
      </w:r>
    </w:p>
    <w:p w14:paraId="429089B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1.提交西安仲裁委员会仲裁；</w:t>
      </w:r>
    </w:p>
    <w:p w14:paraId="49FD2E3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2.依法向甲方所在地有管辖权的人民法院诉讼解决。</w:t>
      </w:r>
    </w:p>
    <w:p w14:paraId="1819689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（二）本条款为独立条款，本合同的无效、变更、解除和终止均不影响本条款的效力。</w:t>
      </w:r>
    </w:p>
    <w:p w14:paraId="3E9AC2DD">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十</w:t>
      </w:r>
      <w:r>
        <w:rPr>
          <w:rFonts w:hint="eastAsia" w:ascii="仿宋" w:hAnsi="仿宋" w:eastAsia="仿宋" w:cs="仿宋"/>
          <w:b/>
          <w:bCs/>
          <w:color w:val="auto"/>
          <w:sz w:val="24"/>
          <w:szCs w:val="24"/>
        </w:rPr>
        <w:t>、验收</w:t>
      </w:r>
    </w:p>
    <w:p w14:paraId="5BDBC2F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（一）服务内容完成后先由乙方进行自检，自检合格后邀请甲方进行验收。</w:t>
      </w:r>
    </w:p>
    <w:p w14:paraId="3644B0D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（二）乙方向甲方提交服务实施过程中的所有资料。以便甲方日后管理和维护。</w:t>
      </w:r>
    </w:p>
    <w:p w14:paraId="0357152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（三）验收依据：</w:t>
      </w:r>
    </w:p>
    <w:p w14:paraId="2D97605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招标文件、投标文件、澄清表（函）</w:t>
      </w:r>
      <w:r>
        <w:rPr>
          <w:rFonts w:hint="eastAsia" w:ascii="仿宋" w:hAnsi="仿宋" w:eastAsia="仿宋" w:cs="仿宋"/>
          <w:color w:val="auto"/>
          <w:sz w:val="24"/>
          <w:szCs w:val="24"/>
          <w:lang w:eastAsia="zh-CN"/>
        </w:rPr>
        <w:t>、绩效考核表</w:t>
      </w:r>
      <w:r>
        <w:rPr>
          <w:rFonts w:hint="eastAsia" w:ascii="仿宋" w:hAnsi="仿宋" w:eastAsia="仿宋" w:cs="仿宋"/>
          <w:color w:val="auto"/>
          <w:sz w:val="24"/>
          <w:szCs w:val="24"/>
        </w:rPr>
        <w:t>；</w:t>
      </w:r>
    </w:p>
    <w:p w14:paraId="3FFE681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本合同及附件文本；</w:t>
      </w:r>
    </w:p>
    <w:p w14:paraId="2728CC7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国家相应的标准、规范。</w:t>
      </w:r>
    </w:p>
    <w:p w14:paraId="70BCC5C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十一、保密条款</w:t>
      </w:r>
    </w:p>
    <w:p w14:paraId="49E1D07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113C6F9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9DB671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本条款为独立条款，本合同的无效、变更、解除和终止均不影响本条款的效力。</w:t>
      </w:r>
    </w:p>
    <w:p w14:paraId="49B6964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双方拟定的其他条款。</w:t>
      </w:r>
    </w:p>
    <w:p w14:paraId="705C089F">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十二、合同变更与终止</w:t>
      </w:r>
    </w:p>
    <w:p w14:paraId="7F1489D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1.在合同的执行期内，双方均不得随意变更或解除合同。</w:t>
      </w:r>
    </w:p>
    <w:p w14:paraId="34486DC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2.如因项目需求情况发生变化，需要项目变更的，应双方协商后签订项目变更协议（如双方变更事项不能达成一致的，仍按原合同履行，否则视为违约）。</w:t>
      </w:r>
    </w:p>
    <w:p w14:paraId="78C9E72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本合同规定的履行期限届满，若招标方就本项目开展下一时段招标工作，在同等条件下，原提供服务的中标单位享有优先中标权；若招标方下一阶段不再进行招标，招标方可根据原中标单位在服务期内的服务质量、工作成效等综合情况，考虑与其续签合同，在此情形下，原中标单位亦具有优先续签权。</w:t>
      </w:r>
    </w:p>
    <w:p w14:paraId="6276057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4.因双方机构撤并、职能调整等原因，确需终止合同的，双方可协商终止合同。</w:t>
      </w:r>
    </w:p>
    <w:p w14:paraId="230015D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5.乙方应自觉遵守甲方工作纪律、规章制度，服从甲方管理。因乙方原因给甲方造成严重后果的，甲方可以单方面解除合同。</w:t>
      </w:r>
    </w:p>
    <w:p w14:paraId="1D57F0A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、监督和管理</w:t>
      </w:r>
    </w:p>
    <w:p w14:paraId="29EF698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1.政府采购合同履行中，甲方需追加与合同标的相同服务的，在不改变合同其他条款的前提下，可以与乙方协商签订补充合同，但所有补充合同的采购金额不得超过原合同采购金额的百分之十。</w:t>
      </w:r>
    </w:p>
    <w:p w14:paraId="6D84DC1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2.甲乙双方均应自觉配合有关监督管理部门对合同履行情况的监督检查，如实反映情况，提供有关资料；否则，将对有关单位、当事人按照有关规定予以处罚。</w:t>
      </w:r>
    </w:p>
    <w:p w14:paraId="649151D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十四、</w:t>
      </w:r>
      <w:r>
        <w:rPr>
          <w:rFonts w:hint="eastAsia" w:ascii="仿宋" w:hAnsi="仿宋" w:eastAsia="仿宋" w:cs="仿宋"/>
          <w:color w:val="auto"/>
          <w:sz w:val="24"/>
          <w:szCs w:val="24"/>
        </w:rPr>
        <w:t>其他</w:t>
      </w:r>
    </w:p>
    <w:p w14:paraId="408A3D97">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1.本合同未尽事宜，双方可另行协商签订补充协议。</w:t>
      </w:r>
    </w:p>
    <w:p w14:paraId="08507BB0">
      <w:pPr>
        <w:keepNext w:val="0"/>
        <w:keepLines w:val="0"/>
        <w:widowControl/>
        <w:suppressLineNumbers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2.本合同一式</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份，甲方执</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份，乙方</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份，具有同等法律效力，自双方签字盖章之日起生效。</w:t>
      </w:r>
    </w:p>
    <w:p w14:paraId="5FA45972">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sectPr>
          <w:pgSz w:w="11906" w:h="16838"/>
          <w:pgMar w:top="1134" w:right="1134" w:bottom="1134" w:left="1134" w:header="851" w:footer="992" w:gutter="0"/>
          <w:cols w:space="425" w:num="1"/>
          <w:docGrid w:type="lines" w:linePitch="312" w:charSpace="0"/>
        </w:sectPr>
      </w:pPr>
    </w:p>
    <w:p w14:paraId="273DF920">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(本页无正文，为签署页)</w:t>
      </w:r>
    </w:p>
    <w:p w14:paraId="39AB4791">
      <w:pPr>
        <w:spacing w:line="360" w:lineRule="auto"/>
        <w:rPr>
          <w:rFonts w:hint="eastAsia" w:ascii="仿宋" w:hAnsi="仿宋" w:eastAsia="仿宋" w:cs="仿宋"/>
          <w:color w:val="auto"/>
          <w:sz w:val="24"/>
          <w:szCs w:val="24"/>
        </w:rPr>
      </w:pPr>
    </w:p>
    <w:tbl>
      <w:tblPr>
        <w:tblStyle w:val="17"/>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693"/>
        <w:gridCol w:w="4949"/>
      </w:tblGrid>
      <w:tr w14:paraId="5525BF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2433" w:type="pct"/>
            <w:vAlign w:val="top"/>
          </w:tcPr>
          <w:p w14:paraId="3526C9CB">
            <w:pPr>
              <w:pStyle w:val="16"/>
              <w:spacing w:before="135" w:line="222" w:lineRule="auto"/>
              <w:ind w:left="1944"/>
              <w:rPr>
                <w:color w:val="auto"/>
              </w:rPr>
            </w:pPr>
            <w:r>
              <w:rPr>
                <w:b/>
                <w:bCs/>
                <w:color w:val="auto"/>
                <w:spacing w:val="-27"/>
              </w:rPr>
              <w:t>甲方</w:t>
            </w:r>
          </w:p>
        </w:tc>
        <w:tc>
          <w:tcPr>
            <w:tcW w:w="2566" w:type="pct"/>
            <w:vAlign w:val="top"/>
          </w:tcPr>
          <w:p w14:paraId="166D68E3">
            <w:pPr>
              <w:pStyle w:val="16"/>
              <w:spacing w:before="135" w:line="224" w:lineRule="auto"/>
              <w:ind w:left="2044"/>
              <w:rPr>
                <w:color w:val="auto"/>
              </w:rPr>
            </w:pPr>
            <w:r>
              <w:rPr>
                <w:b/>
                <w:bCs/>
                <w:color w:val="auto"/>
                <w:spacing w:val="-19"/>
              </w:rPr>
              <w:t>乙方</w:t>
            </w:r>
          </w:p>
        </w:tc>
      </w:tr>
      <w:tr w14:paraId="6DC6F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2433" w:type="pct"/>
            <w:vAlign w:val="top"/>
          </w:tcPr>
          <w:p w14:paraId="4478E6CB">
            <w:pPr>
              <w:pStyle w:val="16"/>
              <w:spacing w:before="48" w:line="221" w:lineRule="auto"/>
              <w:ind w:left="27"/>
              <w:rPr>
                <w:color w:val="auto"/>
              </w:rPr>
            </w:pPr>
            <w:r>
              <w:rPr>
                <w:color w:val="auto"/>
                <w:spacing w:val="-3"/>
              </w:rPr>
              <w:t>采购人名称：</w:t>
            </w:r>
          </w:p>
          <w:p w14:paraId="20574A69">
            <w:pPr>
              <w:spacing w:line="282" w:lineRule="auto"/>
              <w:rPr>
                <w:rFonts w:ascii="Arial"/>
                <w:color w:val="auto"/>
                <w:sz w:val="21"/>
              </w:rPr>
            </w:pPr>
          </w:p>
          <w:p w14:paraId="552076F4">
            <w:pPr>
              <w:spacing w:line="283" w:lineRule="auto"/>
              <w:rPr>
                <w:rFonts w:ascii="Arial"/>
                <w:color w:val="auto"/>
                <w:sz w:val="21"/>
              </w:rPr>
            </w:pPr>
          </w:p>
          <w:p w14:paraId="4F83832E">
            <w:pPr>
              <w:pStyle w:val="16"/>
              <w:spacing w:before="78" w:line="220" w:lineRule="auto"/>
              <w:ind w:left="510"/>
              <w:rPr>
                <w:color w:val="auto"/>
              </w:rPr>
            </w:pPr>
            <w:r>
              <w:rPr>
                <w:b/>
                <w:bCs/>
                <w:color w:val="auto"/>
                <w:spacing w:val="-5"/>
              </w:rPr>
              <w:t>（请填写具体名称）</w:t>
            </w:r>
          </w:p>
          <w:p w14:paraId="13F5292C">
            <w:pPr>
              <w:pStyle w:val="16"/>
              <w:spacing w:before="179" w:line="222" w:lineRule="auto"/>
              <w:ind w:left="1053"/>
              <w:rPr>
                <w:color w:val="auto"/>
              </w:rPr>
            </w:pPr>
            <w:r>
              <w:rPr>
                <w:color w:val="auto"/>
                <w:spacing w:val="-6"/>
              </w:rPr>
              <w:t>（盖章）</w:t>
            </w:r>
          </w:p>
        </w:tc>
        <w:tc>
          <w:tcPr>
            <w:tcW w:w="2566" w:type="pct"/>
            <w:vAlign w:val="top"/>
          </w:tcPr>
          <w:p w14:paraId="5D8BF4D6">
            <w:pPr>
              <w:pStyle w:val="16"/>
              <w:spacing w:before="48" w:line="221" w:lineRule="auto"/>
              <w:ind w:left="54"/>
              <w:rPr>
                <w:color w:val="auto"/>
              </w:rPr>
            </w:pPr>
            <w:r>
              <w:rPr>
                <w:color w:val="auto"/>
                <w:spacing w:val="-8"/>
              </w:rPr>
              <w:t>中标人全称：</w:t>
            </w:r>
          </w:p>
          <w:p w14:paraId="39FF34E8">
            <w:pPr>
              <w:spacing w:line="282" w:lineRule="auto"/>
              <w:rPr>
                <w:rFonts w:ascii="Arial"/>
                <w:color w:val="auto"/>
                <w:sz w:val="21"/>
              </w:rPr>
            </w:pPr>
          </w:p>
          <w:p w14:paraId="681E413F">
            <w:pPr>
              <w:spacing w:line="283" w:lineRule="auto"/>
              <w:rPr>
                <w:rFonts w:ascii="Arial"/>
                <w:color w:val="auto"/>
                <w:sz w:val="21"/>
              </w:rPr>
            </w:pPr>
          </w:p>
          <w:p w14:paraId="10EF8C7C">
            <w:pPr>
              <w:pStyle w:val="16"/>
              <w:spacing w:before="78" w:line="220" w:lineRule="auto"/>
              <w:ind w:left="508"/>
              <w:rPr>
                <w:color w:val="auto"/>
              </w:rPr>
            </w:pPr>
            <w:r>
              <w:rPr>
                <w:b/>
                <w:bCs/>
                <w:color w:val="auto"/>
                <w:spacing w:val="-5"/>
              </w:rPr>
              <w:t>（请填写具体名称）</w:t>
            </w:r>
          </w:p>
          <w:p w14:paraId="16A43A22">
            <w:pPr>
              <w:pStyle w:val="16"/>
              <w:spacing w:before="179" w:line="222" w:lineRule="auto"/>
              <w:ind w:left="1924"/>
              <w:rPr>
                <w:color w:val="auto"/>
              </w:rPr>
            </w:pPr>
            <w:r>
              <w:rPr>
                <w:color w:val="auto"/>
                <w:spacing w:val="-6"/>
              </w:rPr>
              <w:t>（盖章）</w:t>
            </w:r>
          </w:p>
        </w:tc>
      </w:tr>
      <w:tr w14:paraId="1B306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trPr>
        <w:tc>
          <w:tcPr>
            <w:tcW w:w="2433" w:type="pct"/>
            <w:vAlign w:val="top"/>
          </w:tcPr>
          <w:p w14:paraId="01EFCCDC">
            <w:pPr>
              <w:pStyle w:val="16"/>
              <w:spacing w:before="277" w:line="232" w:lineRule="auto"/>
              <w:ind w:left="26"/>
              <w:rPr>
                <w:color w:val="auto"/>
              </w:rPr>
            </w:pPr>
            <w:r>
              <w:rPr>
                <w:color w:val="auto"/>
                <w:spacing w:val="-6"/>
              </w:rPr>
              <w:t>地址：</w:t>
            </w:r>
          </w:p>
        </w:tc>
        <w:tc>
          <w:tcPr>
            <w:tcW w:w="2566" w:type="pct"/>
            <w:vAlign w:val="top"/>
          </w:tcPr>
          <w:p w14:paraId="57E0E4C1">
            <w:pPr>
              <w:pStyle w:val="16"/>
              <w:spacing w:before="277" w:line="232" w:lineRule="auto"/>
              <w:ind w:left="24"/>
              <w:rPr>
                <w:color w:val="auto"/>
              </w:rPr>
            </w:pPr>
            <w:r>
              <w:rPr>
                <w:color w:val="auto"/>
                <w:spacing w:val="-6"/>
              </w:rPr>
              <w:t>地址：</w:t>
            </w:r>
          </w:p>
        </w:tc>
      </w:tr>
      <w:tr w14:paraId="74210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33" w:type="pct"/>
            <w:vAlign w:val="top"/>
          </w:tcPr>
          <w:p w14:paraId="54DA060E">
            <w:pPr>
              <w:pStyle w:val="16"/>
              <w:spacing w:before="123" w:line="222" w:lineRule="auto"/>
              <w:ind w:left="43"/>
              <w:rPr>
                <w:color w:val="auto"/>
              </w:rPr>
            </w:pPr>
            <w:r>
              <w:rPr>
                <w:color w:val="auto"/>
                <w:spacing w:val="-12"/>
              </w:rPr>
              <w:t>邮编：</w:t>
            </w:r>
          </w:p>
        </w:tc>
        <w:tc>
          <w:tcPr>
            <w:tcW w:w="2566" w:type="pct"/>
            <w:vAlign w:val="top"/>
          </w:tcPr>
          <w:p w14:paraId="7A35F373">
            <w:pPr>
              <w:pStyle w:val="16"/>
              <w:spacing w:before="123" w:line="222" w:lineRule="auto"/>
              <w:ind w:left="41"/>
              <w:rPr>
                <w:color w:val="auto"/>
              </w:rPr>
            </w:pPr>
            <w:r>
              <w:rPr>
                <w:color w:val="auto"/>
                <w:spacing w:val="-12"/>
              </w:rPr>
              <w:t>邮编：</w:t>
            </w:r>
          </w:p>
        </w:tc>
      </w:tr>
      <w:tr w14:paraId="30828E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trPr>
        <w:tc>
          <w:tcPr>
            <w:tcW w:w="2433" w:type="pct"/>
            <w:vAlign w:val="top"/>
          </w:tcPr>
          <w:p w14:paraId="41F83645">
            <w:pPr>
              <w:pStyle w:val="16"/>
              <w:spacing w:before="39" w:line="223" w:lineRule="auto"/>
              <w:ind w:left="33"/>
              <w:rPr>
                <w:color w:val="auto"/>
              </w:rPr>
            </w:pPr>
            <w:r>
              <w:rPr>
                <w:color w:val="auto"/>
                <w:spacing w:val="-2"/>
              </w:rPr>
              <w:t>法定代表人或委托代理人：</w:t>
            </w:r>
          </w:p>
          <w:p w14:paraId="180CF605">
            <w:pPr>
              <w:pStyle w:val="16"/>
              <w:spacing w:before="176" w:line="222" w:lineRule="auto"/>
              <w:ind w:left="1677"/>
              <w:rPr>
                <w:color w:val="auto"/>
              </w:rPr>
            </w:pPr>
            <w:r>
              <w:rPr>
                <w:color w:val="auto"/>
                <w:spacing w:val="-6"/>
              </w:rPr>
              <w:t>（签章）</w:t>
            </w:r>
          </w:p>
        </w:tc>
        <w:tc>
          <w:tcPr>
            <w:tcW w:w="2566" w:type="pct"/>
            <w:vAlign w:val="top"/>
          </w:tcPr>
          <w:p w14:paraId="0C04E571">
            <w:pPr>
              <w:pStyle w:val="16"/>
              <w:spacing w:before="39" w:line="223" w:lineRule="auto"/>
              <w:ind w:left="30"/>
              <w:rPr>
                <w:color w:val="auto"/>
              </w:rPr>
            </w:pPr>
            <w:r>
              <w:rPr>
                <w:color w:val="auto"/>
                <w:spacing w:val="-2"/>
              </w:rPr>
              <w:t>法定代表人或委托代理人：</w:t>
            </w:r>
          </w:p>
          <w:p w14:paraId="4AD07F66">
            <w:pPr>
              <w:pStyle w:val="16"/>
              <w:spacing w:before="176" w:line="222" w:lineRule="auto"/>
              <w:ind w:left="1792"/>
              <w:rPr>
                <w:color w:val="auto"/>
              </w:rPr>
            </w:pPr>
            <w:r>
              <w:rPr>
                <w:color w:val="auto"/>
                <w:spacing w:val="-6"/>
              </w:rPr>
              <w:t>（签章）</w:t>
            </w:r>
          </w:p>
        </w:tc>
      </w:tr>
      <w:tr w14:paraId="50B0F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33" w:type="pct"/>
            <w:vAlign w:val="top"/>
          </w:tcPr>
          <w:p w14:paraId="69600979">
            <w:pPr>
              <w:pStyle w:val="16"/>
              <w:spacing w:before="122" w:line="223" w:lineRule="auto"/>
              <w:ind w:left="52"/>
              <w:rPr>
                <w:color w:val="auto"/>
              </w:rPr>
            </w:pPr>
            <w:r>
              <w:rPr>
                <w:color w:val="auto"/>
                <w:spacing w:val="-15"/>
              </w:rPr>
              <w:t>电话：</w:t>
            </w:r>
          </w:p>
        </w:tc>
        <w:tc>
          <w:tcPr>
            <w:tcW w:w="2566" w:type="pct"/>
            <w:vAlign w:val="top"/>
          </w:tcPr>
          <w:p w14:paraId="736CACA2">
            <w:pPr>
              <w:pStyle w:val="16"/>
              <w:spacing w:before="122" w:line="223" w:lineRule="auto"/>
              <w:ind w:left="49"/>
              <w:rPr>
                <w:color w:val="auto"/>
              </w:rPr>
            </w:pPr>
            <w:r>
              <w:rPr>
                <w:color w:val="auto"/>
                <w:spacing w:val="-15"/>
              </w:rPr>
              <w:t>电话：</w:t>
            </w:r>
          </w:p>
        </w:tc>
      </w:tr>
      <w:tr w14:paraId="185421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2433" w:type="pct"/>
            <w:vAlign w:val="top"/>
          </w:tcPr>
          <w:p w14:paraId="1485A55B">
            <w:pPr>
              <w:pStyle w:val="16"/>
              <w:spacing w:before="124" w:line="223" w:lineRule="auto"/>
              <w:ind w:left="28"/>
              <w:rPr>
                <w:color w:val="auto"/>
              </w:rPr>
            </w:pPr>
            <w:r>
              <w:rPr>
                <w:color w:val="auto"/>
                <w:spacing w:val="-7"/>
              </w:rPr>
              <w:t>传真：</w:t>
            </w:r>
          </w:p>
        </w:tc>
        <w:tc>
          <w:tcPr>
            <w:tcW w:w="2566" w:type="pct"/>
            <w:vAlign w:val="top"/>
          </w:tcPr>
          <w:p w14:paraId="455F25A3">
            <w:pPr>
              <w:pStyle w:val="16"/>
              <w:spacing w:before="124" w:line="223" w:lineRule="auto"/>
              <w:ind w:left="26"/>
              <w:rPr>
                <w:color w:val="auto"/>
              </w:rPr>
            </w:pPr>
            <w:r>
              <w:rPr>
                <w:color w:val="auto"/>
                <w:spacing w:val="-7"/>
              </w:rPr>
              <w:t>传真：</w:t>
            </w:r>
          </w:p>
        </w:tc>
      </w:tr>
      <w:tr w14:paraId="3C863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433" w:type="pct"/>
            <w:vAlign w:val="top"/>
          </w:tcPr>
          <w:p w14:paraId="297B0356">
            <w:pPr>
              <w:pStyle w:val="16"/>
              <w:spacing w:before="125" w:line="221" w:lineRule="auto"/>
              <w:ind w:left="25"/>
              <w:rPr>
                <w:color w:val="auto"/>
              </w:rPr>
            </w:pPr>
            <w:r>
              <w:rPr>
                <w:color w:val="auto"/>
                <w:spacing w:val="-4"/>
              </w:rPr>
              <w:t>开户银行：</w:t>
            </w:r>
          </w:p>
        </w:tc>
        <w:tc>
          <w:tcPr>
            <w:tcW w:w="2566" w:type="pct"/>
            <w:vAlign w:val="top"/>
          </w:tcPr>
          <w:p w14:paraId="723836F9">
            <w:pPr>
              <w:pStyle w:val="16"/>
              <w:spacing w:before="125" w:line="221" w:lineRule="auto"/>
              <w:ind w:left="23"/>
              <w:rPr>
                <w:color w:val="auto"/>
              </w:rPr>
            </w:pPr>
            <w:r>
              <w:rPr>
                <w:color w:val="auto"/>
                <w:spacing w:val="-4"/>
              </w:rPr>
              <w:t>开户银行：</w:t>
            </w:r>
          </w:p>
        </w:tc>
      </w:tr>
      <w:tr w14:paraId="76E3B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2433" w:type="pct"/>
            <w:vAlign w:val="top"/>
          </w:tcPr>
          <w:p w14:paraId="7AD05012">
            <w:pPr>
              <w:pStyle w:val="16"/>
              <w:spacing w:before="40" w:line="224" w:lineRule="auto"/>
              <w:ind w:left="23"/>
              <w:rPr>
                <w:color w:val="auto"/>
              </w:rPr>
            </w:pPr>
            <w:r>
              <w:rPr>
                <w:color w:val="auto"/>
                <w:spacing w:val="-5"/>
              </w:rPr>
              <w:t>账号：</w:t>
            </w:r>
          </w:p>
        </w:tc>
        <w:tc>
          <w:tcPr>
            <w:tcW w:w="2566" w:type="pct"/>
            <w:vAlign w:val="top"/>
          </w:tcPr>
          <w:p w14:paraId="46E54FD7">
            <w:pPr>
              <w:pStyle w:val="16"/>
              <w:spacing w:before="122" w:line="224" w:lineRule="auto"/>
              <w:ind w:left="20"/>
              <w:rPr>
                <w:color w:val="auto"/>
              </w:rPr>
            </w:pPr>
            <w:r>
              <w:rPr>
                <w:color w:val="auto"/>
                <w:spacing w:val="-5"/>
              </w:rPr>
              <w:t>账号：</w:t>
            </w:r>
          </w:p>
        </w:tc>
      </w:tr>
      <w:tr w14:paraId="57548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2433" w:type="pct"/>
            <w:vAlign w:val="top"/>
          </w:tcPr>
          <w:p w14:paraId="5E055EE3">
            <w:pPr>
              <w:pStyle w:val="16"/>
              <w:spacing w:before="125" w:line="221" w:lineRule="auto"/>
              <w:ind w:left="25"/>
              <w:rPr>
                <w:color w:val="auto"/>
              </w:rPr>
            </w:pPr>
            <w:r>
              <w:rPr>
                <w:rFonts w:hint="eastAsia"/>
                <w:color w:val="auto"/>
                <w:spacing w:val="-4"/>
                <w:lang w:val="en-US" w:eastAsia="zh-CN"/>
              </w:rPr>
              <w:t xml:space="preserve">日期：   </w:t>
            </w:r>
            <w:r>
              <w:rPr>
                <w:color w:val="auto"/>
                <w:spacing w:val="-4"/>
              </w:rPr>
              <w:t>年</w:t>
            </w:r>
            <w:r>
              <w:rPr>
                <w:rFonts w:hint="eastAsia"/>
                <w:color w:val="auto"/>
                <w:spacing w:val="-4"/>
                <w:lang w:val="en-US" w:eastAsia="zh-CN"/>
              </w:rPr>
              <w:t xml:space="preserve">   </w:t>
            </w:r>
            <w:r>
              <w:rPr>
                <w:color w:val="auto"/>
                <w:spacing w:val="-4"/>
              </w:rPr>
              <w:t>月</w:t>
            </w:r>
            <w:r>
              <w:rPr>
                <w:rFonts w:hint="eastAsia"/>
                <w:color w:val="auto"/>
                <w:spacing w:val="-4"/>
                <w:lang w:val="en-US" w:eastAsia="zh-CN"/>
              </w:rPr>
              <w:t xml:space="preserve">   </w:t>
            </w:r>
            <w:r>
              <w:rPr>
                <w:color w:val="auto"/>
                <w:spacing w:val="-4"/>
              </w:rPr>
              <w:t>日</w:t>
            </w:r>
          </w:p>
        </w:tc>
        <w:tc>
          <w:tcPr>
            <w:tcW w:w="2566" w:type="pct"/>
            <w:vAlign w:val="top"/>
          </w:tcPr>
          <w:p w14:paraId="6E78A478">
            <w:pPr>
              <w:pStyle w:val="16"/>
              <w:spacing w:before="125" w:line="221" w:lineRule="auto"/>
              <w:ind w:left="25"/>
              <w:rPr>
                <w:color w:val="auto"/>
              </w:rPr>
            </w:pPr>
            <w:r>
              <w:rPr>
                <w:color w:val="auto"/>
                <w:spacing w:val="-4"/>
              </w:rPr>
              <w:t>日期：</w:t>
            </w:r>
            <w:r>
              <w:rPr>
                <w:rFonts w:hint="eastAsia"/>
                <w:color w:val="auto"/>
                <w:spacing w:val="-4"/>
                <w:lang w:val="en-US" w:eastAsia="zh-CN"/>
              </w:rPr>
              <w:t xml:space="preserve">   </w:t>
            </w:r>
            <w:r>
              <w:rPr>
                <w:color w:val="auto"/>
                <w:spacing w:val="-4"/>
              </w:rPr>
              <w:t>年</w:t>
            </w:r>
            <w:r>
              <w:rPr>
                <w:rFonts w:hint="eastAsia"/>
                <w:color w:val="auto"/>
                <w:spacing w:val="-4"/>
                <w:lang w:val="en-US" w:eastAsia="zh-CN"/>
              </w:rPr>
              <w:t xml:space="preserve">   </w:t>
            </w:r>
            <w:r>
              <w:rPr>
                <w:color w:val="auto"/>
                <w:spacing w:val="-4"/>
              </w:rPr>
              <w:t>月</w:t>
            </w:r>
            <w:r>
              <w:rPr>
                <w:rFonts w:hint="eastAsia"/>
                <w:color w:val="auto"/>
                <w:spacing w:val="-4"/>
                <w:lang w:val="en-US" w:eastAsia="zh-CN"/>
              </w:rPr>
              <w:t xml:space="preserve">    </w:t>
            </w:r>
            <w:r>
              <w:rPr>
                <w:color w:val="auto"/>
                <w:spacing w:val="-4"/>
              </w:rPr>
              <w:t>日</w:t>
            </w:r>
          </w:p>
        </w:tc>
      </w:tr>
    </w:tbl>
    <w:p w14:paraId="7898753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rPr>
        <w:sectPr>
          <w:pgSz w:w="11906" w:h="16838"/>
          <w:pgMar w:top="1134" w:right="1134" w:bottom="1134" w:left="1134" w:header="851" w:footer="992" w:gutter="0"/>
          <w:cols w:space="425" w:num="1"/>
          <w:docGrid w:type="lines" w:linePitch="312" w:charSpace="0"/>
        </w:sectPr>
      </w:pPr>
    </w:p>
    <w:p w14:paraId="4EF37A19">
      <w:pPr>
        <w:pStyle w:val="5"/>
        <w:jc w:val="center"/>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rPr>
        <w:t>城北防护（康养）林养护管理项目绩效考核表</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参考文本</w:t>
      </w:r>
      <w:r>
        <w:rPr>
          <w:rFonts w:hint="eastAsia" w:ascii="仿宋" w:hAnsi="仿宋" w:eastAsia="仿宋" w:cs="仿宋"/>
          <w:b/>
          <w:bCs/>
          <w:color w:val="auto"/>
          <w:sz w:val="28"/>
          <w:szCs w:val="28"/>
          <w:lang w:eastAsia="zh-CN"/>
        </w:rPr>
        <w:t>）</w:t>
      </w:r>
    </w:p>
    <w:p w14:paraId="6BE566E1">
      <w:pPr>
        <w:pStyle w:val="5"/>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考核主体：</w:t>
      </w:r>
      <w:r>
        <w:rPr>
          <w:rFonts w:hint="eastAsia" w:ascii="仿宋" w:hAnsi="仿宋" w:eastAsia="仿宋" w:cs="仿宋"/>
          <w:color w:val="auto"/>
          <w:sz w:val="24"/>
          <w:szCs w:val="24"/>
          <w:u w:val="single"/>
          <w:lang w:val="en-US" w:eastAsia="zh-CN"/>
        </w:rPr>
        <w:t>渭南市蒲城县林业局</w:t>
      </w:r>
    </w:p>
    <w:p w14:paraId="39D3D1CA">
      <w:pPr>
        <w:pStyle w:val="5"/>
        <w:rPr>
          <w:rFonts w:hint="default" w:ascii="仿宋" w:hAnsi="仿宋" w:eastAsia="仿宋" w:cs="仿宋"/>
          <w:color w:val="auto"/>
          <w:sz w:val="24"/>
          <w:szCs w:val="24"/>
          <w:u w:val="single"/>
          <w:lang w:val="en-US"/>
        </w:rPr>
      </w:pPr>
      <w:r>
        <w:rPr>
          <w:rFonts w:hint="eastAsia" w:ascii="仿宋" w:hAnsi="仿宋" w:eastAsia="仿宋" w:cs="仿宋"/>
          <w:b/>
          <w:bCs/>
          <w:color w:val="auto"/>
          <w:sz w:val="24"/>
          <w:szCs w:val="24"/>
          <w:lang w:val="en-US" w:eastAsia="zh-CN"/>
        </w:rPr>
        <w:t>被考核单位：</w:t>
      </w:r>
      <w:r>
        <w:rPr>
          <w:rFonts w:hint="eastAsia" w:ascii="仿宋" w:hAnsi="仿宋" w:eastAsia="仿宋" w:cs="仿宋"/>
          <w:color w:val="auto"/>
          <w:sz w:val="24"/>
          <w:szCs w:val="24"/>
          <w:u w:val="single"/>
          <w:lang w:val="en-US" w:eastAsia="zh-CN"/>
        </w:rPr>
        <w:t xml:space="preserve">                </w:t>
      </w:r>
    </w:p>
    <w:p w14:paraId="707D48C2">
      <w:pPr>
        <w:pStyle w:val="5"/>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考核标段：</w:t>
      </w:r>
      <w:r>
        <w:rPr>
          <w:rFonts w:hint="eastAsia" w:ascii="仿宋" w:hAnsi="仿宋" w:eastAsia="仿宋" w:cs="仿宋"/>
          <w:color w:val="auto"/>
          <w:sz w:val="24"/>
          <w:szCs w:val="24"/>
          <w:lang w:val="en-US" w:eastAsia="zh-CN"/>
        </w:rPr>
        <w:t xml:space="preserve">□东区 □西区 </w:t>
      </w:r>
    </w:p>
    <w:p w14:paraId="2AD55990">
      <w:pPr>
        <w:pStyle w:val="5"/>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考核周期：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日—</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日</w:t>
      </w:r>
    </w:p>
    <w:p w14:paraId="12C0D274">
      <w:pPr>
        <w:rPr>
          <w:rFonts w:hint="eastAsia" w:ascii="仿宋" w:hAnsi="仿宋" w:eastAsia="仿宋" w:cs="仿宋"/>
          <w:color w:val="auto"/>
        </w:rPr>
      </w:pPr>
    </w:p>
    <w:tbl>
      <w:tblPr>
        <w:tblStyle w:val="8"/>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75"/>
        <w:gridCol w:w="1538"/>
        <w:gridCol w:w="7350"/>
        <w:gridCol w:w="1200"/>
        <w:gridCol w:w="1287"/>
        <w:gridCol w:w="988"/>
        <w:gridCol w:w="1646"/>
      </w:tblGrid>
      <w:tr w14:paraId="5BBF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32" w:hRule="atLeast"/>
        </w:trPr>
        <w:tc>
          <w:tcPr>
            <w:tcW w:w="262" w:type="pct"/>
            <w:shd w:val="clear" w:color="auto" w:fill="auto"/>
            <w:tcMar>
              <w:top w:w="120" w:type="dxa"/>
              <w:left w:w="120" w:type="dxa"/>
              <w:bottom w:w="120" w:type="dxa"/>
              <w:right w:w="120" w:type="dxa"/>
            </w:tcMar>
            <w:vAlign w:val="center"/>
          </w:tcPr>
          <w:p w14:paraId="36D744E2">
            <w:pPr>
              <w:jc w:val="center"/>
              <w:rPr>
                <w:rFonts w:hint="eastAsia"/>
                <w:b/>
                <w:bCs/>
                <w:color w:val="auto"/>
                <w:lang w:val="en-US" w:eastAsia="zh-CN"/>
              </w:rPr>
            </w:pPr>
            <w:r>
              <w:rPr>
                <w:rFonts w:hint="eastAsia"/>
                <w:b/>
                <w:bCs/>
                <w:color w:val="auto"/>
              </w:rPr>
              <w:t>序号</w:t>
            </w:r>
          </w:p>
        </w:tc>
        <w:tc>
          <w:tcPr>
            <w:tcW w:w="520" w:type="pct"/>
            <w:shd w:val="clear" w:color="auto" w:fill="auto"/>
            <w:tcMar>
              <w:top w:w="120" w:type="dxa"/>
              <w:left w:w="120" w:type="dxa"/>
              <w:bottom w:w="120" w:type="dxa"/>
              <w:right w:w="120" w:type="dxa"/>
            </w:tcMar>
            <w:vAlign w:val="center"/>
          </w:tcPr>
          <w:p w14:paraId="4698EC90">
            <w:pPr>
              <w:jc w:val="center"/>
              <w:rPr>
                <w:rFonts w:hint="eastAsia"/>
                <w:b/>
                <w:bCs/>
                <w:color w:val="auto"/>
              </w:rPr>
            </w:pPr>
            <w:r>
              <w:rPr>
                <w:rFonts w:hint="eastAsia"/>
                <w:b/>
                <w:bCs/>
                <w:color w:val="auto"/>
              </w:rPr>
              <w:t>考核</w:t>
            </w:r>
          </w:p>
          <w:p w14:paraId="07DBADD3">
            <w:pPr>
              <w:jc w:val="center"/>
              <w:rPr>
                <w:rFonts w:hint="eastAsia"/>
                <w:b/>
                <w:bCs/>
                <w:color w:val="auto"/>
                <w:lang w:val="en-US" w:eastAsia="zh-CN"/>
              </w:rPr>
            </w:pPr>
            <w:r>
              <w:rPr>
                <w:rFonts w:hint="eastAsia"/>
                <w:b/>
                <w:bCs/>
                <w:color w:val="auto"/>
              </w:rPr>
              <w:t>大类</w:t>
            </w:r>
          </w:p>
        </w:tc>
        <w:tc>
          <w:tcPr>
            <w:tcW w:w="2485" w:type="pct"/>
            <w:shd w:val="clear" w:color="auto" w:fill="auto"/>
            <w:tcMar>
              <w:top w:w="120" w:type="dxa"/>
              <w:left w:w="120" w:type="dxa"/>
              <w:bottom w:w="120" w:type="dxa"/>
              <w:right w:w="120" w:type="dxa"/>
            </w:tcMar>
            <w:vAlign w:val="center"/>
          </w:tcPr>
          <w:p w14:paraId="20A74A07">
            <w:pPr>
              <w:jc w:val="center"/>
              <w:rPr>
                <w:rFonts w:hint="eastAsia"/>
                <w:b/>
                <w:bCs/>
                <w:color w:val="auto"/>
                <w:lang w:val="en-US" w:eastAsia="zh-CN"/>
              </w:rPr>
            </w:pPr>
            <w:r>
              <w:rPr>
                <w:rFonts w:hint="eastAsia"/>
                <w:b/>
                <w:bCs/>
                <w:color w:val="auto"/>
              </w:rPr>
              <w:t>考核内容及标准</w:t>
            </w:r>
          </w:p>
        </w:tc>
        <w:tc>
          <w:tcPr>
            <w:tcW w:w="405" w:type="pct"/>
            <w:shd w:val="clear" w:color="auto" w:fill="auto"/>
            <w:tcMar>
              <w:top w:w="120" w:type="dxa"/>
              <w:left w:w="120" w:type="dxa"/>
              <w:bottom w:w="120" w:type="dxa"/>
              <w:right w:w="120" w:type="dxa"/>
            </w:tcMar>
            <w:vAlign w:val="center"/>
          </w:tcPr>
          <w:p w14:paraId="7749C838">
            <w:pPr>
              <w:jc w:val="center"/>
              <w:rPr>
                <w:rFonts w:hint="eastAsia"/>
                <w:b/>
                <w:bCs/>
                <w:color w:val="auto"/>
                <w:lang w:val="en-US" w:eastAsia="zh-CN"/>
              </w:rPr>
            </w:pPr>
            <w:r>
              <w:rPr>
                <w:rFonts w:hint="eastAsia"/>
                <w:b/>
                <w:bCs/>
                <w:color w:val="auto"/>
              </w:rPr>
              <w:t>考核方法</w:t>
            </w:r>
          </w:p>
        </w:tc>
        <w:tc>
          <w:tcPr>
            <w:tcW w:w="435" w:type="pct"/>
            <w:shd w:val="clear" w:color="auto" w:fill="auto"/>
            <w:tcMar>
              <w:top w:w="120" w:type="dxa"/>
              <w:left w:w="120" w:type="dxa"/>
              <w:bottom w:w="120" w:type="dxa"/>
              <w:right w:w="120" w:type="dxa"/>
            </w:tcMar>
            <w:vAlign w:val="center"/>
          </w:tcPr>
          <w:p w14:paraId="34227E11">
            <w:pPr>
              <w:jc w:val="center"/>
              <w:rPr>
                <w:rFonts w:hint="eastAsia"/>
                <w:b/>
                <w:bCs/>
                <w:color w:val="auto"/>
                <w:lang w:val="en-US" w:eastAsia="zh-CN"/>
              </w:rPr>
            </w:pPr>
            <w:r>
              <w:rPr>
                <w:rFonts w:hint="eastAsia"/>
                <w:b/>
                <w:bCs/>
                <w:color w:val="auto"/>
              </w:rPr>
              <w:t>权重（分）</w:t>
            </w:r>
          </w:p>
        </w:tc>
        <w:tc>
          <w:tcPr>
            <w:tcW w:w="334" w:type="pct"/>
            <w:shd w:val="clear" w:color="auto" w:fill="auto"/>
            <w:tcMar>
              <w:top w:w="120" w:type="dxa"/>
              <w:left w:w="120" w:type="dxa"/>
              <w:bottom w:w="120" w:type="dxa"/>
              <w:right w:w="120" w:type="dxa"/>
            </w:tcMar>
            <w:vAlign w:val="center"/>
          </w:tcPr>
          <w:p w14:paraId="081D874F">
            <w:pPr>
              <w:jc w:val="center"/>
              <w:rPr>
                <w:rFonts w:hint="eastAsia"/>
                <w:b/>
                <w:bCs/>
                <w:color w:val="auto"/>
              </w:rPr>
            </w:pPr>
            <w:r>
              <w:rPr>
                <w:rFonts w:hint="eastAsia"/>
                <w:b/>
                <w:bCs/>
                <w:color w:val="auto"/>
              </w:rPr>
              <w:t>考核得分</w:t>
            </w:r>
          </w:p>
        </w:tc>
        <w:tc>
          <w:tcPr>
            <w:tcW w:w="556" w:type="pct"/>
            <w:shd w:val="clear" w:color="auto" w:fill="auto"/>
            <w:tcMar>
              <w:top w:w="120" w:type="dxa"/>
              <w:left w:w="120" w:type="dxa"/>
              <w:bottom w:w="120" w:type="dxa"/>
              <w:right w:w="120" w:type="dxa"/>
            </w:tcMar>
            <w:vAlign w:val="center"/>
          </w:tcPr>
          <w:p w14:paraId="46DAA05B">
            <w:pPr>
              <w:jc w:val="center"/>
              <w:rPr>
                <w:rFonts w:hint="eastAsia"/>
                <w:b/>
                <w:bCs/>
                <w:color w:val="auto"/>
              </w:rPr>
            </w:pPr>
            <w:r>
              <w:rPr>
                <w:rFonts w:hint="eastAsia"/>
                <w:b/>
                <w:bCs/>
                <w:color w:val="auto"/>
              </w:rPr>
              <w:t>备注</w:t>
            </w:r>
          </w:p>
        </w:tc>
      </w:tr>
      <w:tr w14:paraId="6AD93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957" w:hRule="atLeast"/>
        </w:trPr>
        <w:tc>
          <w:tcPr>
            <w:tcW w:w="262" w:type="pct"/>
            <w:shd w:val="clear" w:color="auto" w:fill="auto"/>
            <w:tcMar>
              <w:top w:w="120" w:type="dxa"/>
              <w:left w:w="120" w:type="dxa"/>
              <w:bottom w:w="120" w:type="dxa"/>
              <w:right w:w="120" w:type="dxa"/>
            </w:tcMar>
            <w:vAlign w:val="center"/>
          </w:tcPr>
          <w:p w14:paraId="255EFD4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1</w:t>
            </w:r>
          </w:p>
          <w:p w14:paraId="68CB295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lang w:val="en-US" w:eastAsia="zh-CN"/>
              </w:rPr>
            </w:pPr>
          </w:p>
        </w:tc>
        <w:tc>
          <w:tcPr>
            <w:tcW w:w="520" w:type="pct"/>
            <w:shd w:val="clear" w:color="auto" w:fill="auto"/>
            <w:tcMar>
              <w:top w:w="120" w:type="dxa"/>
              <w:left w:w="120" w:type="dxa"/>
              <w:bottom w:w="120" w:type="dxa"/>
              <w:right w:w="120" w:type="dxa"/>
            </w:tcMar>
            <w:vAlign w:val="center"/>
          </w:tcPr>
          <w:p w14:paraId="6236931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sz w:val="20"/>
                <w:szCs w:val="20"/>
              </w:rPr>
              <w:t>树木修剪养护</w:t>
            </w:r>
          </w:p>
        </w:tc>
        <w:tc>
          <w:tcPr>
            <w:tcW w:w="2485" w:type="pct"/>
            <w:shd w:val="clear" w:color="auto" w:fill="auto"/>
            <w:tcMar>
              <w:top w:w="120" w:type="dxa"/>
              <w:left w:w="120" w:type="dxa"/>
              <w:bottom w:w="120" w:type="dxa"/>
              <w:right w:w="120" w:type="dxa"/>
            </w:tcMar>
            <w:vAlign w:val="center"/>
          </w:tcPr>
          <w:p w14:paraId="1CD1FAA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 遵循“因树修剪、随枝作形、平衡树势、促进生长”原则，休眠期（晚秋至早春）完成枯死枝、病虫枝等各类不良枝条修剪，修剪规范、切口平滑，无过度修剪或修剪不到位情况；</w:t>
            </w:r>
          </w:p>
          <w:p w14:paraId="320A54AF">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2.景观路段/节点林木整形美观，符合景观要求；</w:t>
            </w:r>
          </w:p>
          <w:p w14:paraId="3175F19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3.靠近电力线路、交通标志等的危险枝条及时清理，无安全隐患；4.浇水养护科学合理，水肥“浇透”有效，林木生长良好，无大面积干旱枯萎现象。</w:t>
            </w:r>
          </w:p>
        </w:tc>
        <w:tc>
          <w:tcPr>
            <w:tcW w:w="405" w:type="pct"/>
            <w:shd w:val="clear" w:color="auto" w:fill="auto"/>
            <w:tcMar>
              <w:top w:w="120" w:type="dxa"/>
              <w:left w:w="120" w:type="dxa"/>
              <w:bottom w:w="120" w:type="dxa"/>
              <w:right w:w="120" w:type="dxa"/>
            </w:tcMar>
            <w:vAlign w:val="center"/>
          </w:tcPr>
          <w:p w14:paraId="344C077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现场巡查、查阅养护记录。</w:t>
            </w:r>
          </w:p>
        </w:tc>
        <w:tc>
          <w:tcPr>
            <w:tcW w:w="435" w:type="pct"/>
            <w:shd w:val="clear" w:color="auto" w:fill="auto"/>
            <w:tcMar>
              <w:top w:w="120" w:type="dxa"/>
              <w:left w:w="120" w:type="dxa"/>
              <w:bottom w:w="120" w:type="dxa"/>
              <w:right w:w="120" w:type="dxa"/>
            </w:tcMar>
            <w:vAlign w:val="center"/>
          </w:tcPr>
          <w:p w14:paraId="3BE524C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25</w:t>
            </w:r>
          </w:p>
        </w:tc>
        <w:tc>
          <w:tcPr>
            <w:tcW w:w="334" w:type="pct"/>
            <w:shd w:val="clear" w:color="auto" w:fill="auto"/>
            <w:tcMar>
              <w:top w:w="120" w:type="dxa"/>
              <w:left w:w="120" w:type="dxa"/>
              <w:bottom w:w="120" w:type="dxa"/>
              <w:right w:w="120" w:type="dxa"/>
            </w:tcMar>
            <w:vAlign w:val="center"/>
          </w:tcPr>
          <w:p w14:paraId="373763A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center"/>
          </w:tcPr>
          <w:p w14:paraId="0A23D1BF">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发现1处未按要求修剪扣2分，1处林木干旱枯萎扣3分。</w:t>
            </w:r>
          </w:p>
        </w:tc>
      </w:tr>
      <w:tr w14:paraId="1FDE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center"/>
          </w:tcPr>
          <w:p w14:paraId="21A4B99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2</w:t>
            </w:r>
          </w:p>
        </w:tc>
        <w:tc>
          <w:tcPr>
            <w:tcW w:w="520" w:type="pct"/>
            <w:shd w:val="clear" w:color="auto" w:fill="auto"/>
            <w:tcMar>
              <w:top w:w="120" w:type="dxa"/>
              <w:left w:w="120" w:type="dxa"/>
              <w:bottom w:w="120" w:type="dxa"/>
              <w:right w:w="120" w:type="dxa"/>
            </w:tcMar>
            <w:vAlign w:val="center"/>
          </w:tcPr>
          <w:p w14:paraId="2C6E2C1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sz w:val="20"/>
                <w:szCs w:val="20"/>
              </w:rPr>
              <w:t>森林防火管理</w:t>
            </w:r>
          </w:p>
        </w:tc>
        <w:tc>
          <w:tcPr>
            <w:tcW w:w="2485" w:type="pct"/>
            <w:shd w:val="clear" w:color="auto" w:fill="auto"/>
            <w:tcMar>
              <w:top w:w="120" w:type="dxa"/>
              <w:left w:w="120" w:type="dxa"/>
              <w:bottom w:w="120" w:type="dxa"/>
              <w:right w:w="120" w:type="dxa"/>
            </w:tcMar>
            <w:vAlign w:val="top"/>
          </w:tcPr>
          <w:p w14:paraId="3135572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1.防火期（10月1日-次年4月30日）加强巡逻，无携带火种进入林区、野外用火等违规行为；</w:t>
            </w:r>
          </w:p>
          <w:p w14:paraId="1269C02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2.及时清理林下、林缘、防火隔离带内枯枝落叶、杂草等可燃物，无大面积堆积；</w:t>
            </w:r>
          </w:p>
          <w:p w14:paraId="059C39C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3.开展联防联控及防火宣传，公众防火意识提升；</w:t>
            </w:r>
          </w:p>
          <w:p w14:paraId="5AA93D8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4.森林火灾应急预案完善，防火物资充足有效，无森林火灾事故。</w:t>
            </w:r>
          </w:p>
        </w:tc>
        <w:tc>
          <w:tcPr>
            <w:tcW w:w="405" w:type="pct"/>
            <w:shd w:val="clear" w:color="auto" w:fill="auto"/>
            <w:tcMar>
              <w:top w:w="120" w:type="dxa"/>
              <w:left w:w="120" w:type="dxa"/>
              <w:bottom w:w="120" w:type="dxa"/>
              <w:right w:w="120" w:type="dxa"/>
            </w:tcMar>
            <w:vAlign w:val="top"/>
          </w:tcPr>
          <w:p w14:paraId="6BFCEA0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现场巡查、查阅巡逻记录、物资台账。</w:t>
            </w:r>
          </w:p>
        </w:tc>
        <w:tc>
          <w:tcPr>
            <w:tcW w:w="435" w:type="pct"/>
            <w:shd w:val="clear" w:color="auto" w:fill="auto"/>
            <w:tcMar>
              <w:top w:w="120" w:type="dxa"/>
              <w:left w:w="120" w:type="dxa"/>
              <w:bottom w:w="120" w:type="dxa"/>
              <w:right w:w="120" w:type="dxa"/>
            </w:tcMar>
            <w:vAlign w:val="top"/>
          </w:tcPr>
          <w:p w14:paraId="3E21921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25</w:t>
            </w:r>
          </w:p>
        </w:tc>
        <w:tc>
          <w:tcPr>
            <w:tcW w:w="334" w:type="pct"/>
            <w:shd w:val="clear" w:color="auto" w:fill="auto"/>
            <w:tcMar>
              <w:top w:w="120" w:type="dxa"/>
              <w:left w:w="120" w:type="dxa"/>
              <w:bottom w:w="120" w:type="dxa"/>
              <w:right w:w="120" w:type="dxa"/>
            </w:tcMar>
            <w:vAlign w:val="top"/>
          </w:tcPr>
          <w:p w14:paraId="1849493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357801E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发现1起违规用火扣5分，可燃物大面积堆积扣4分，发生火灾事故此项0分。</w:t>
            </w:r>
          </w:p>
        </w:tc>
      </w:tr>
      <w:tr w14:paraId="6EFD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center"/>
          </w:tcPr>
          <w:p w14:paraId="43517AE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w:t>
            </w:r>
          </w:p>
          <w:p w14:paraId="5900AEC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p>
        </w:tc>
        <w:tc>
          <w:tcPr>
            <w:tcW w:w="520" w:type="pct"/>
            <w:shd w:val="clear" w:color="auto" w:fill="auto"/>
            <w:tcMar>
              <w:top w:w="120" w:type="dxa"/>
              <w:left w:w="120" w:type="dxa"/>
              <w:bottom w:w="120" w:type="dxa"/>
              <w:right w:w="120" w:type="dxa"/>
            </w:tcMar>
            <w:vAlign w:val="top"/>
          </w:tcPr>
          <w:p w14:paraId="0ECF910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基础设施维护与管理</w:t>
            </w:r>
          </w:p>
          <w:p w14:paraId="6BA9C1D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p>
        </w:tc>
        <w:tc>
          <w:tcPr>
            <w:tcW w:w="2485" w:type="pct"/>
            <w:shd w:val="clear" w:color="auto" w:fill="auto"/>
            <w:tcMar>
              <w:top w:w="120" w:type="dxa"/>
              <w:left w:w="120" w:type="dxa"/>
              <w:bottom w:w="120" w:type="dxa"/>
              <w:right w:w="120" w:type="dxa"/>
            </w:tcMar>
            <w:vAlign w:val="top"/>
          </w:tcPr>
          <w:p w14:paraId="5B86DB0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1.巡护道路、防火通道畅通，道路两侧杂草、灌木及时清理；</w:t>
            </w:r>
          </w:p>
          <w:p w14:paraId="03F6FCA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2.宣传牌、警示牌、围栏等设施定期巡检、加固，无损坏、倾斜、缺失；</w:t>
            </w:r>
          </w:p>
          <w:p w14:paraId="00E9348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3.供配电、供水设施安全检查到位，无漏电、漏水隐患；</w:t>
            </w:r>
          </w:p>
          <w:p w14:paraId="078FB8F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4.生态涝池、停车场、管理用房、生态卫生间等设施维护良好，正常运行。</w:t>
            </w:r>
          </w:p>
        </w:tc>
        <w:tc>
          <w:tcPr>
            <w:tcW w:w="405" w:type="pct"/>
            <w:shd w:val="clear" w:color="auto" w:fill="auto"/>
            <w:tcMar>
              <w:top w:w="120" w:type="dxa"/>
              <w:left w:w="120" w:type="dxa"/>
              <w:bottom w:w="120" w:type="dxa"/>
              <w:right w:w="120" w:type="dxa"/>
            </w:tcMar>
            <w:vAlign w:val="top"/>
          </w:tcPr>
          <w:p w14:paraId="50316D2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现场核查、查阅维护记录。</w:t>
            </w:r>
          </w:p>
        </w:tc>
        <w:tc>
          <w:tcPr>
            <w:tcW w:w="435" w:type="pct"/>
            <w:shd w:val="clear" w:color="auto" w:fill="auto"/>
            <w:tcMar>
              <w:top w:w="120" w:type="dxa"/>
              <w:left w:w="120" w:type="dxa"/>
              <w:bottom w:w="120" w:type="dxa"/>
              <w:right w:w="120" w:type="dxa"/>
            </w:tcMar>
            <w:vAlign w:val="top"/>
          </w:tcPr>
          <w:p w14:paraId="406D044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20</w:t>
            </w:r>
          </w:p>
        </w:tc>
        <w:tc>
          <w:tcPr>
            <w:tcW w:w="334" w:type="pct"/>
            <w:shd w:val="clear" w:color="auto" w:fill="auto"/>
            <w:tcMar>
              <w:top w:w="120" w:type="dxa"/>
              <w:left w:w="120" w:type="dxa"/>
              <w:bottom w:w="120" w:type="dxa"/>
              <w:right w:w="120" w:type="dxa"/>
            </w:tcMar>
            <w:vAlign w:val="top"/>
          </w:tcPr>
          <w:p w14:paraId="1203D6D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2111BF65">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1处设施损坏未及时处理扣2分，道路堵塞扣3分，出现安全隐患扣5分。</w:t>
            </w:r>
          </w:p>
        </w:tc>
      </w:tr>
      <w:tr w14:paraId="65B02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05487CD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4</w:t>
            </w:r>
          </w:p>
        </w:tc>
        <w:tc>
          <w:tcPr>
            <w:tcW w:w="520" w:type="pct"/>
            <w:shd w:val="clear" w:color="auto" w:fill="auto"/>
            <w:tcMar>
              <w:top w:w="120" w:type="dxa"/>
              <w:left w:w="120" w:type="dxa"/>
              <w:bottom w:w="120" w:type="dxa"/>
              <w:right w:w="120" w:type="dxa"/>
            </w:tcMar>
            <w:vAlign w:val="top"/>
          </w:tcPr>
          <w:p w14:paraId="74DCAF5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病虫害防治和野生动植物保护</w:t>
            </w:r>
          </w:p>
        </w:tc>
        <w:tc>
          <w:tcPr>
            <w:tcW w:w="2485" w:type="pct"/>
            <w:shd w:val="clear" w:color="auto" w:fill="auto"/>
            <w:tcMar>
              <w:top w:w="120" w:type="dxa"/>
              <w:left w:w="120" w:type="dxa"/>
              <w:bottom w:w="120" w:type="dxa"/>
              <w:right w:w="120" w:type="dxa"/>
            </w:tcMar>
            <w:vAlign w:val="top"/>
          </w:tcPr>
          <w:p w14:paraId="3DC827F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1.贯彻“预防为主，综合治理”方针，加强病虫害监测，记录完整；</w:t>
            </w:r>
          </w:p>
          <w:p w14:paraId="3766B4D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2.定期开展防寒、防虫刷白作业，作业质量达标；</w:t>
            </w:r>
          </w:p>
          <w:p w14:paraId="0A89F30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3.科学安全使用药物，无环境污染、人畜安全隐患；</w:t>
            </w:r>
          </w:p>
          <w:p w14:paraId="005D1B1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4.保护野生动植物，及时制止并报告破坏林木、猎捕野生动物行为。</w:t>
            </w:r>
          </w:p>
        </w:tc>
        <w:tc>
          <w:tcPr>
            <w:tcW w:w="405" w:type="pct"/>
            <w:shd w:val="clear" w:color="auto" w:fill="auto"/>
            <w:tcMar>
              <w:top w:w="120" w:type="dxa"/>
              <w:left w:w="120" w:type="dxa"/>
              <w:bottom w:w="120" w:type="dxa"/>
              <w:right w:w="120" w:type="dxa"/>
            </w:tcMar>
            <w:vAlign w:val="top"/>
          </w:tcPr>
          <w:p w14:paraId="365BD65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现场检查、查阅监测记录、用药台账</w:t>
            </w:r>
          </w:p>
        </w:tc>
        <w:tc>
          <w:tcPr>
            <w:tcW w:w="435" w:type="pct"/>
            <w:shd w:val="clear" w:color="auto" w:fill="auto"/>
            <w:tcMar>
              <w:top w:w="120" w:type="dxa"/>
              <w:left w:w="120" w:type="dxa"/>
              <w:bottom w:w="120" w:type="dxa"/>
              <w:right w:w="120" w:type="dxa"/>
            </w:tcMar>
            <w:vAlign w:val="top"/>
          </w:tcPr>
          <w:p w14:paraId="5F44F51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15</w:t>
            </w:r>
          </w:p>
        </w:tc>
        <w:tc>
          <w:tcPr>
            <w:tcW w:w="334" w:type="pct"/>
            <w:shd w:val="clear" w:color="auto" w:fill="auto"/>
            <w:tcMar>
              <w:top w:w="120" w:type="dxa"/>
              <w:left w:w="120" w:type="dxa"/>
              <w:bottom w:w="120" w:type="dxa"/>
              <w:right w:w="120" w:type="dxa"/>
            </w:tcMar>
            <w:vAlign w:val="top"/>
          </w:tcPr>
          <w:p w14:paraId="1030F62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040698B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未开展病虫害监测扣4分，用药不规范扣5分，发现破坏行为未报告扣3分。</w:t>
            </w:r>
          </w:p>
        </w:tc>
      </w:tr>
      <w:tr w14:paraId="2A578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2630745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5</w:t>
            </w:r>
          </w:p>
          <w:p w14:paraId="11CCD7B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p>
        </w:tc>
        <w:tc>
          <w:tcPr>
            <w:tcW w:w="520" w:type="pct"/>
            <w:shd w:val="clear" w:color="auto" w:fill="auto"/>
            <w:tcMar>
              <w:top w:w="120" w:type="dxa"/>
              <w:left w:w="120" w:type="dxa"/>
              <w:bottom w:w="120" w:type="dxa"/>
              <w:right w:w="120" w:type="dxa"/>
            </w:tcMar>
            <w:vAlign w:val="top"/>
          </w:tcPr>
          <w:p w14:paraId="4FB9E70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环境卫生保洁</w:t>
            </w:r>
          </w:p>
        </w:tc>
        <w:tc>
          <w:tcPr>
            <w:tcW w:w="2485" w:type="pct"/>
            <w:shd w:val="clear" w:color="auto" w:fill="auto"/>
            <w:tcMar>
              <w:top w:w="120" w:type="dxa"/>
              <w:left w:w="120" w:type="dxa"/>
              <w:bottom w:w="120" w:type="dxa"/>
              <w:right w:w="120" w:type="dxa"/>
            </w:tcMar>
            <w:vAlign w:val="top"/>
          </w:tcPr>
          <w:p w14:paraId="3AF2D7F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1.定期清除道路及两侧、垃圾桶、健身娱乐区生活垃圾；</w:t>
            </w:r>
          </w:p>
          <w:p w14:paraId="58D90B2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2.垃圾重点区域定期巡查监督，无垃圾堆积；</w:t>
            </w:r>
          </w:p>
          <w:p w14:paraId="3DE2DC7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3.林内垃圾、废弃物及时清运，林区环境整洁舒适，无明显杂物、异味。</w:t>
            </w:r>
          </w:p>
        </w:tc>
        <w:tc>
          <w:tcPr>
            <w:tcW w:w="405" w:type="pct"/>
            <w:shd w:val="clear" w:color="auto" w:fill="auto"/>
            <w:tcMar>
              <w:top w:w="120" w:type="dxa"/>
              <w:left w:w="120" w:type="dxa"/>
              <w:bottom w:w="120" w:type="dxa"/>
              <w:right w:w="120" w:type="dxa"/>
            </w:tcMar>
            <w:vAlign w:val="top"/>
          </w:tcPr>
          <w:p w14:paraId="3579D11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现场巡查、随机抽查</w:t>
            </w:r>
          </w:p>
        </w:tc>
        <w:tc>
          <w:tcPr>
            <w:tcW w:w="435" w:type="pct"/>
            <w:shd w:val="clear" w:color="auto" w:fill="auto"/>
            <w:tcMar>
              <w:top w:w="120" w:type="dxa"/>
              <w:left w:w="120" w:type="dxa"/>
              <w:bottom w:w="120" w:type="dxa"/>
              <w:right w:w="120" w:type="dxa"/>
            </w:tcMar>
            <w:vAlign w:val="top"/>
          </w:tcPr>
          <w:p w14:paraId="59361EE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15</w:t>
            </w:r>
          </w:p>
        </w:tc>
        <w:tc>
          <w:tcPr>
            <w:tcW w:w="334" w:type="pct"/>
            <w:shd w:val="clear" w:color="auto" w:fill="auto"/>
            <w:tcMar>
              <w:top w:w="120" w:type="dxa"/>
              <w:left w:w="120" w:type="dxa"/>
              <w:bottom w:w="120" w:type="dxa"/>
              <w:right w:w="120" w:type="dxa"/>
            </w:tcMar>
            <w:vAlign w:val="top"/>
          </w:tcPr>
          <w:p w14:paraId="66029F4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30C0C1B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发现1处垃圾堆积扣2分，垃圾桶满溢未及时清理扣1分。</w:t>
            </w:r>
          </w:p>
        </w:tc>
      </w:tr>
      <w:tr w14:paraId="1E9F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3F02CB5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6</w:t>
            </w:r>
          </w:p>
        </w:tc>
        <w:tc>
          <w:tcPr>
            <w:tcW w:w="520" w:type="pct"/>
            <w:shd w:val="clear" w:color="auto" w:fill="auto"/>
            <w:tcMar>
              <w:top w:w="120" w:type="dxa"/>
              <w:left w:w="120" w:type="dxa"/>
              <w:bottom w:w="120" w:type="dxa"/>
              <w:right w:w="120" w:type="dxa"/>
            </w:tcMar>
            <w:vAlign w:val="top"/>
          </w:tcPr>
          <w:p w14:paraId="20BD2A0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加分项</w:t>
            </w:r>
          </w:p>
        </w:tc>
        <w:tc>
          <w:tcPr>
            <w:tcW w:w="2485" w:type="pct"/>
            <w:shd w:val="clear" w:color="auto" w:fill="auto"/>
            <w:tcMar>
              <w:top w:w="120" w:type="dxa"/>
              <w:left w:w="120" w:type="dxa"/>
              <w:bottom w:w="120" w:type="dxa"/>
              <w:right w:w="120" w:type="dxa"/>
            </w:tcMar>
            <w:vAlign w:val="top"/>
          </w:tcPr>
          <w:p w14:paraId="59A9AE8C">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创新养护管理方法，成效显著；</w:t>
            </w:r>
          </w:p>
          <w:p w14:paraId="4CB12C7D">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ind w:left="0" w:leftChars="0" w:firstLine="0" w:firstLine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获得上级部门表彰或群众广泛好评；</w:t>
            </w:r>
          </w:p>
          <w:p w14:paraId="5818E28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3.及时发现重大安全隐患并妥善处置。</w:t>
            </w:r>
          </w:p>
        </w:tc>
        <w:tc>
          <w:tcPr>
            <w:tcW w:w="405" w:type="pct"/>
            <w:shd w:val="clear" w:color="auto" w:fill="auto"/>
            <w:tcMar>
              <w:top w:w="120" w:type="dxa"/>
              <w:left w:w="120" w:type="dxa"/>
              <w:bottom w:w="120" w:type="dxa"/>
              <w:right w:w="120" w:type="dxa"/>
            </w:tcMar>
            <w:vAlign w:val="top"/>
          </w:tcPr>
          <w:p w14:paraId="360F40BD">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查阅证明材料、实地核实</w:t>
            </w:r>
          </w:p>
        </w:tc>
        <w:tc>
          <w:tcPr>
            <w:tcW w:w="435" w:type="pct"/>
            <w:shd w:val="clear" w:color="auto" w:fill="auto"/>
            <w:tcMar>
              <w:top w:w="120" w:type="dxa"/>
              <w:left w:w="120" w:type="dxa"/>
              <w:bottom w:w="120" w:type="dxa"/>
              <w:right w:w="120" w:type="dxa"/>
            </w:tcMar>
            <w:vAlign w:val="top"/>
          </w:tcPr>
          <w:p w14:paraId="5777D29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5（上限）</w:t>
            </w:r>
          </w:p>
        </w:tc>
        <w:tc>
          <w:tcPr>
            <w:tcW w:w="334" w:type="pct"/>
            <w:shd w:val="clear" w:color="auto" w:fill="auto"/>
            <w:tcMar>
              <w:top w:w="120" w:type="dxa"/>
              <w:left w:w="120" w:type="dxa"/>
              <w:bottom w:w="120" w:type="dxa"/>
              <w:right w:w="120" w:type="dxa"/>
            </w:tcMar>
            <w:vAlign w:val="top"/>
          </w:tcPr>
          <w:p w14:paraId="209EDB8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65A1B8AA">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每项加分不超过2分，累计不超过5分。</w:t>
            </w:r>
          </w:p>
        </w:tc>
      </w:tr>
      <w:tr w14:paraId="5AA2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262" w:type="pct"/>
            <w:shd w:val="clear" w:color="auto" w:fill="auto"/>
            <w:tcMar>
              <w:top w:w="120" w:type="dxa"/>
              <w:left w:w="120" w:type="dxa"/>
              <w:bottom w:w="120" w:type="dxa"/>
              <w:right w:w="120" w:type="dxa"/>
            </w:tcMar>
            <w:vAlign w:val="top"/>
          </w:tcPr>
          <w:p w14:paraId="16A3620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7</w:t>
            </w:r>
          </w:p>
        </w:tc>
        <w:tc>
          <w:tcPr>
            <w:tcW w:w="520" w:type="pct"/>
            <w:shd w:val="clear" w:color="auto" w:fill="auto"/>
            <w:tcMar>
              <w:top w:w="120" w:type="dxa"/>
              <w:left w:w="120" w:type="dxa"/>
              <w:bottom w:w="120" w:type="dxa"/>
              <w:right w:w="120" w:type="dxa"/>
            </w:tcMar>
            <w:vAlign w:val="top"/>
          </w:tcPr>
          <w:p w14:paraId="40311663">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扣分项（可累计）</w:t>
            </w:r>
          </w:p>
        </w:tc>
        <w:tc>
          <w:tcPr>
            <w:tcW w:w="2485" w:type="pct"/>
            <w:shd w:val="clear" w:color="auto" w:fill="auto"/>
            <w:tcMar>
              <w:top w:w="120" w:type="dxa"/>
              <w:left w:w="120" w:type="dxa"/>
              <w:bottom w:w="120" w:type="dxa"/>
              <w:right w:w="120" w:type="dxa"/>
            </w:tcMar>
            <w:vAlign w:val="top"/>
          </w:tcPr>
          <w:p w14:paraId="13F60A5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1.未按要求报送养护管理资料；</w:t>
            </w:r>
          </w:p>
          <w:p w14:paraId="6C2D248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2.接到整改通知后未按时整改；</w:t>
            </w:r>
          </w:p>
          <w:p w14:paraId="298AA0E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leftChars="0"/>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3.因管理不当引发群众投诉并查实。</w:t>
            </w:r>
          </w:p>
        </w:tc>
        <w:tc>
          <w:tcPr>
            <w:tcW w:w="405" w:type="pct"/>
            <w:shd w:val="clear" w:color="auto" w:fill="auto"/>
            <w:tcMar>
              <w:top w:w="120" w:type="dxa"/>
              <w:left w:w="120" w:type="dxa"/>
              <w:bottom w:w="120" w:type="dxa"/>
              <w:right w:w="120" w:type="dxa"/>
            </w:tcMar>
            <w:vAlign w:val="top"/>
          </w:tcPr>
          <w:p w14:paraId="46150241">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查阅资料、核实投诉记录</w:t>
            </w:r>
          </w:p>
        </w:tc>
        <w:tc>
          <w:tcPr>
            <w:tcW w:w="435" w:type="pct"/>
            <w:shd w:val="clear" w:color="auto" w:fill="auto"/>
            <w:tcMar>
              <w:top w:w="120" w:type="dxa"/>
              <w:left w:w="120" w:type="dxa"/>
              <w:bottom w:w="120" w:type="dxa"/>
              <w:right w:w="120" w:type="dxa"/>
            </w:tcMar>
            <w:vAlign w:val="top"/>
          </w:tcPr>
          <w:p w14:paraId="01F141F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w:t>
            </w:r>
          </w:p>
        </w:tc>
        <w:tc>
          <w:tcPr>
            <w:tcW w:w="334" w:type="pct"/>
            <w:shd w:val="clear" w:color="auto" w:fill="auto"/>
            <w:tcMar>
              <w:top w:w="120" w:type="dxa"/>
              <w:left w:w="120" w:type="dxa"/>
              <w:bottom w:w="120" w:type="dxa"/>
              <w:right w:w="120" w:type="dxa"/>
            </w:tcMar>
            <w:vAlign w:val="top"/>
          </w:tcPr>
          <w:p w14:paraId="0102998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p>
        </w:tc>
        <w:tc>
          <w:tcPr>
            <w:tcW w:w="556" w:type="pct"/>
            <w:shd w:val="clear" w:color="auto" w:fill="auto"/>
            <w:tcMar>
              <w:top w:w="120" w:type="dxa"/>
              <w:left w:w="120" w:type="dxa"/>
              <w:bottom w:w="120" w:type="dxa"/>
              <w:right w:w="120" w:type="dxa"/>
            </w:tcMar>
            <w:vAlign w:val="top"/>
          </w:tcPr>
          <w:p w14:paraId="79620EE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每项每次扣3-5分，情节严重的另行处理。</w:t>
            </w:r>
          </w:p>
        </w:tc>
      </w:tr>
      <w:tr w14:paraId="6AFF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3673" w:type="pct"/>
            <w:gridSpan w:val="4"/>
            <w:shd w:val="clear" w:color="auto" w:fill="auto"/>
            <w:tcMar>
              <w:top w:w="120" w:type="dxa"/>
              <w:left w:w="120" w:type="dxa"/>
              <w:bottom w:w="120" w:type="dxa"/>
              <w:right w:w="120" w:type="dxa"/>
            </w:tcMar>
            <w:vAlign w:val="center"/>
          </w:tcPr>
          <w:p w14:paraId="3776EF9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总分（加权得分+加分-扣分）</w:t>
            </w:r>
          </w:p>
        </w:tc>
        <w:tc>
          <w:tcPr>
            <w:tcW w:w="435" w:type="pct"/>
            <w:shd w:val="clear" w:color="auto" w:fill="auto"/>
            <w:tcMar>
              <w:top w:w="120" w:type="dxa"/>
              <w:left w:w="120" w:type="dxa"/>
              <w:bottom w:w="120" w:type="dxa"/>
              <w:right w:w="120" w:type="dxa"/>
            </w:tcMar>
            <w:vAlign w:val="top"/>
          </w:tcPr>
          <w:p w14:paraId="707D21D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r>
              <w:rPr>
                <w:rFonts w:hint="eastAsia" w:ascii="仿宋" w:hAnsi="仿宋" w:eastAsia="仿宋" w:cs="仿宋"/>
                <w:color w:val="auto"/>
                <w:kern w:val="0"/>
                <w:sz w:val="20"/>
                <w:szCs w:val="20"/>
                <w:lang w:val="en-US" w:eastAsia="zh-CN" w:bidi="ar"/>
              </w:rPr>
              <w:t>100+5</w:t>
            </w:r>
          </w:p>
          <w:p w14:paraId="6C25954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color w:val="auto"/>
                <w:sz w:val="20"/>
                <w:szCs w:val="20"/>
              </w:rPr>
            </w:pPr>
          </w:p>
        </w:tc>
        <w:tc>
          <w:tcPr>
            <w:tcW w:w="334" w:type="pct"/>
            <w:shd w:val="clear" w:color="auto" w:fill="auto"/>
            <w:tcMar>
              <w:top w:w="120" w:type="dxa"/>
              <w:left w:w="120" w:type="dxa"/>
              <w:bottom w:w="120" w:type="dxa"/>
              <w:right w:w="120" w:type="dxa"/>
            </w:tcMar>
            <w:vAlign w:val="top"/>
          </w:tcPr>
          <w:p w14:paraId="5B86E9AC">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rPr>
            </w:pPr>
          </w:p>
        </w:tc>
        <w:tc>
          <w:tcPr>
            <w:tcW w:w="556" w:type="pct"/>
            <w:shd w:val="clear" w:color="auto" w:fill="auto"/>
            <w:tcMar>
              <w:top w:w="120" w:type="dxa"/>
              <w:left w:w="120" w:type="dxa"/>
              <w:bottom w:w="120" w:type="dxa"/>
              <w:right w:w="120" w:type="dxa"/>
            </w:tcMar>
            <w:vAlign w:val="top"/>
          </w:tcPr>
          <w:p w14:paraId="78BFF01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仿宋" w:hAnsi="仿宋" w:eastAsia="仿宋" w:cs="仿宋"/>
                <w:color w:val="auto"/>
                <w:sz w:val="20"/>
                <w:szCs w:val="20"/>
                <w:lang w:eastAsia="zh-CN"/>
              </w:rPr>
            </w:pPr>
            <w:r>
              <w:rPr>
                <w:rFonts w:hint="eastAsia" w:ascii="仿宋" w:hAnsi="仿宋" w:eastAsia="仿宋" w:cs="仿宋"/>
                <w:color w:val="auto"/>
                <w:sz w:val="20"/>
                <w:szCs w:val="20"/>
              </w:rPr>
              <w:t>90分及以上为优秀，80-89分为良好，60-79分为合格，60分以下为不合格</w:t>
            </w:r>
            <w:r>
              <w:rPr>
                <w:rFonts w:hint="eastAsia" w:ascii="仿宋" w:hAnsi="仿宋" w:eastAsia="仿宋" w:cs="仿宋"/>
                <w:color w:val="auto"/>
                <w:sz w:val="20"/>
                <w:szCs w:val="20"/>
                <w:lang w:eastAsia="zh-CN"/>
              </w:rPr>
              <w:t>。</w:t>
            </w:r>
          </w:p>
        </w:tc>
      </w:tr>
    </w:tbl>
    <w:p w14:paraId="5715A38A">
      <w:pPr>
        <w:pStyle w:val="5"/>
        <w:rPr>
          <w:rFonts w:hint="eastAsia"/>
          <w:color w:val="auto"/>
        </w:rPr>
      </w:pPr>
    </w:p>
    <w:p w14:paraId="0DB2E3E8">
      <w:pPr>
        <w:rPr>
          <w:rFonts w:hint="eastAsia"/>
          <w:color w:val="auto"/>
        </w:rPr>
        <w:sectPr>
          <w:pgSz w:w="16838" w:h="11906" w:orient="landscape"/>
          <w:pgMar w:top="1134" w:right="1134" w:bottom="1134" w:left="1134" w:header="851" w:footer="992" w:gutter="0"/>
          <w:cols w:space="425" w:num="1"/>
          <w:docGrid w:type="lines" w:linePitch="312" w:charSpace="0"/>
        </w:sectPr>
      </w:pP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4822"/>
        <w:gridCol w:w="5054"/>
      </w:tblGrid>
      <w:tr w14:paraId="09DAA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2441" w:type="pct"/>
            <w:shd w:val="clear" w:color="auto" w:fill="auto"/>
            <w:tcMar>
              <w:top w:w="120" w:type="dxa"/>
              <w:left w:w="120" w:type="dxa"/>
              <w:bottom w:w="120" w:type="dxa"/>
              <w:right w:w="120" w:type="dxa"/>
            </w:tcMar>
            <w:vAlign w:val="center"/>
          </w:tcPr>
          <w:p w14:paraId="2B9A65D8">
            <w:pPr>
              <w:pStyle w:val="5"/>
              <w:jc w:val="center"/>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考核意见</w:t>
            </w:r>
          </w:p>
        </w:tc>
        <w:tc>
          <w:tcPr>
            <w:tcW w:w="2558" w:type="pct"/>
            <w:shd w:val="clear" w:color="auto" w:fill="auto"/>
            <w:tcMar>
              <w:top w:w="120" w:type="dxa"/>
              <w:left w:w="120" w:type="dxa"/>
              <w:bottom w:w="120" w:type="dxa"/>
              <w:right w:w="120" w:type="dxa"/>
            </w:tcMar>
            <w:vAlign w:val="center"/>
          </w:tcPr>
          <w:p w14:paraId="367D9789">
            <w:pPr>
              <w:pStyle w:val="5"/>
              <w:jc w:val="center"/>
              <w:rPr>
                <w:rFonts w:hint="eastAsia" w:ascii="仿宋" w:hAnsi="仿宋" w:eastAsia="仿宋" w:cs="仿宋"/>
                <w:color w:val="auto"/>
                <w:sz w:val="24"/>
                <w:szCs w:val="24"/>
              </w:rPr>
            </w:pPr>
            <w:r>
              <w:rPr>
                <w:rFonts w:hint="eastAsia" w:ascii="仿宋" w:hAnsi="仿宋" w:eastAsia="仿宋" w:cs="仿宋"/>
                <w:b/>
                <w:bCs/>
                <w:color w:val="auto"/>
                <w:sz w:val="24"/>
                <w:szCs w:val="24"/>
                <w:lang w:val="en-US" w:eastAsia="zh-CN"/>
              </w:rPr>
              <w:t>考核结果应用建议</w:t>
            </w:r>
          </w:p>
        </w:tc>
      </w:tr>
      <w:tr w14:paraId="4893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52" w:hRule="atLeast"/>
        </w:trPr>
        <w:tc>
          <w:tcPr>
            <w:tcW w:w="2441" w:type="pct"/>
            <w:shd w:val="clear" w:color="auto" w:fill="auto"/>
            <w:tcMar>
              <w:top w:w="120" w:type="dxa"/>
              <w:left w:w="120" w:type="dxa"/>
              <w:bottom w:w="120" w:type="dxa"/>
              <w:right w:w="120" w:type="dxa"/>
            </w:tcMar>
            <w:vAlign w:val="top"/>
          </w:tcPr>
          <w:p w14:paraId="0552FAD6">
            <w:pPr>
              <w:rPr>
                <w:rFonts w:hint="eastAsia" w:ascii="仿宋" w:hAnsi="仿宋" w:eastAsia="仿宋" w:cs="仿宋"/>
                <w:color w:val="auto"/>
                <w:sz w:val="24"/>
                <w:szCs w:val="24"/>
                <w:u w:val="single"/>
                <w:lang w:val="en-US" w:eastAsia="zh-CN"/>
              </w:rPr>
            </w:pPr>
          </w:p>
        </w:tc>
        <w:tc>
          <w:tcPr>
            <w:tcW w:w="2558" w:type="pct"/>
            <w:shd w:val="clear" w:color="auto" w:fill="auto"/>
            <w:tcMar>
              <w:top w:w="120" w:type="dxa"/>
              <w:left w:w="120" w:type="dxa"/>
              <w:bottom w:w="120" w:type="dxa"/>
              <w:right w:w="120" w:type="dxa"/>
            </w:tcMar>
            <w:vAlign w:val="top"/>
          </w:tcPr>
          <w:p w14:paraId="397102E5">
            <w:pPr>
              <w:rPr>
                <w:rFonts w:hint="eastAsia" w:ascii="仿宋" w:hAnsi="仿宋" w:eastAsia="仿宋" w:cs="仿宋"/>
                <w:color w:val="auto"/>
                <w:sz w:val="24"/>
                <w:szCs w:val="24"/>
                <w:lang w:val="en-US" w:eastAsia="zh-CN"/>
              </w:rPr>
            </w:pPr>
          </w:p>
        </w:tc>
      </w:tr>
    </w:tbl>
    <w:p w14:paraId="675B3DE0">
      <w:pPr>
        <w:pStyle w:val="5"/>
        <w:rPr>
          <w:rFonts w:hint="eastAsia"/>
          <w:color w:val="auto"/>
        </w:rPr>
      </w:pPr>
    </w:p>
    <w:p w14:paraId="2EB58873">
      <w:pPr>
        <w:rPr>
          <w:rFonts w:hint="eastAsia"/>
          <w:color w:val="auto"/>
        </w:rPr>
      </w:pPr>
    </w:p>
    <w:p w14:paraId="22CCC85D">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pPr>
    </w:p>
    <w:p w14:paraId="1F2CAF3C">
      <w:pPr>
        <w:keepNext w:val="0"/>
        <w:keepLines w:val="0"/>
        <w:widowControl/>
        <w:suppressLineNumbers w:val="0"/>
        <w:spacing w:line="36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考核人员签字：</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u w:val="none"/>
          <w:lang w:val="en-US" w:eastAsia="zh-CN" w:bidi="ar"/>
        </w:rPr>
        <w:t xml:space="preserve">        </w:t>
      </w:r>
      <w:r>
        <w:rPr>
          <w:rFonts w:hint="eastAsia" w:ascii="仿宋" w:hAnsi="仿宋" w:eastAsia="仿宋" w:cs="仿宋"/>
          <w:color w:val="auto"/>
          <w:kern w:val="0"/>
          <w:sz w:val="24"/>
          <w:szCs w:val="24"/>
          <w:lang w:val="en-US" w:eastAsia="zh-CN" w:bidi="ar"/>
        </w:rPr>
        <w:t>日期：</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年</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月</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w:t>
      </w:r>
    </w:p>
    <w:p w14:paraId="0368FB75">
      <w:pPr>
        <w:keepNext w:val="0"/>
        <w:keepLines w:val="0"/>
        <w:widowControl/>
        <w:suppressLineNumbers w:val="0"/>
        <w:spacing w:line="360" w:lineRule="auto"/>
        <w:jc w:val="left"/>
        <w:rPr>
          <w:rFonts w:hint="eastAsia" w:ascii="仿宋" w:hAnsi="仿宋" w:eastAsia="仿宋" w:cs="仿宋"/>
          <w:color w:val="auto"/>
          <w:kern w:val="0"/>
          <w:sz w:val="24"/>
          <w:szCs w:val="24"/>
          <w:lang w:val="en-US" w:eastAsia="zh-CN" w:bidi="ar"/>
        </w:rPr>
      </w:pPr>
    </w:p>
    <w:p w14:paraId="37BC5D13">
      <w:pPr>
        <w:keepNext w:val="0"/>
        <w:keepLines w:val="0"/>
        <w:widowControl/>
        <w:suppressLineNumbers w:val="0"/>
        <w:spacing w:line="36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被考核单位签字（盖章）：</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 xml:space="preserve">        日期：</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年</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月</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val="en-US" w:eastAsia="zh-CN" w:bidi="ar"/>
        </w:rPr>
        <w:t>日</w:t>
      </w:r>
    </w:p>
    <w:p w14:paraId="4C81C76B">
      <w:pPr>
        <w:rPr>
          <w:color w:val="auto"/>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B3AB5"/>
    <w:multiLevelType w:val="singleLevel"/>
    <w:tmpl w:val="A73B3AB5"/>
    <w:lvl w:ilvl="0" w:tentative="0">
      <w:start w:val="1"/>
      <w:numFmt w:val="decimal"/>
      <w:lvlText w:val="%1."/>
      <w:lvlJc w:val="left"/>
      <w:pPr>
        <w:tabs>
          <w:tab w:val="left" w:pos="312"/>
        </w:tabs>
      </w:pPr>
    </w:lvl>
  </w:abstractNum>
  <w:abstractNum w:abstractNumId="1">
    <w:nsid w:val="AD1695FE"/>
    <w:multiLevelType w:val="multilevel"/>
    <w:tmpl w:val="AD1695FE"/>
    <w:lvl w:ilvl="0" w:tentative="0">
      <w:start w:val="1"/>
      <w:numFmt w:val="decimal"/>
      <w:lvlText w:val="%1."/>
      <w:lvlJc w:val="left"/>
      <w:pPr>
        <w:tabs>
          <w:tab w:val="left" w:pos="1134"/>
        </w:tabs>
        <w:ind w:left="1134" w:hanging="1134"/>
      </w:pPr>
      <w:rPr>
        <w:rFonts w:hint="default" w:ascii="Arial" w:hAnsi="Arial"/>
        <w:b/>
        <w:i w:val="0"/>
        <w:caps/>
        <w:sz w:val="24"/>
      </w:rPr>
    </w:lvl>
    <w:lvl w:ilvl="1" w:tentative="0">
      <w:start w:val="1"/>
      <w:numFmt w:val="decimal"/>
      <w:lvlText w:val="%1.%2"/>
      <w:lvlJc w:val="left"/>
      <w:pPr>
        <w:tabs>
          <w:tab w:val="left" w:pos="1134"/>
        </w:tabs>
        <w:ind w:left="1134" w:hanging="1134"/>
      </w:pPr>
      <w:rPr>
        <w:rFonts w:hint="default" w:ascii="Arial" w:hAnsi="Arial"/>
        <w:b/>
        <w:i w:val="0"/>
        <w:sz w:val="22"/>
      </w:rPr>
    </w:lvl>
    <w:lvl w:ilvl="2" w:tentative="0">
      <w:start w:val="1"/>
      <w:numFmt w:val="decimal"/>
      <w:lvlText w:val="%1.%2.%3"/>
      <w:lvlJc w:val="left"/>
      <w:pPr>
        <w:tabs>
          <w:tab w:val="left" w:pos="1134"/>
        </w:tabs>
        <w:ind w:left="1134" w:hanging="1134"/>
      </w:pPr>
      <w:rPr>
        <w:rFonts w:hint="default" w:ascii="Arial" w:hAnsi="Arial"/>
        <w:b/>
        <w:i w:val="0"/>
        <w:sz w:val="22"/>
      </w:rPr>
    </w:lvl>
    <w:lvl w:ilvl="3" w:tentative="0">
      <w:start w:val="1"/>
      <w:numFmt w:val="decimal"/>
      <w:pStyle w:val="13"/>
      <w:lvlText w:val="%1.%2.%3.%4"/>
      <w:lvlJc w:val="left"/>
      <w:pPr>
        <w:tabs>
          <w:tab w:val="left" w:pos="720"/>
        </w:tabs>
        <w:ind w:left="0" w:firstLine="0"/>
      </w:pPr>
      <w:rPr>
        <w:rFonts w:hint="default" w:ascii="Arial" w:hAnsi="Arial"/>
        <w:b/>
        <w:i/>
        <w:caps w:val="0"/>
        <w:sz w:val="22"/>
      </w:rPr>
    </w:lvl>
    <w:lvl w:ilvl="4" w:tentative="0">
      <w:start w:val="1"/>
      <w:numFmt w:val="decimal"/>
      <w:lvlText w:val="%1.%2.%3.%4.%5"/>
      <w:lvlJc w:val="left"/>
      <w:pPr>
        <w:tabs>
          <w:tab w:val="left" w:pos="1080"/>
        </w:tabs>
        <w:ind w:left="0" w:firstLine="0"/>
      </w:pPr>
    </w:lvl>
    <w:lvl w:ilvl="5" w:tentative="0">
      <w:start w:val="1"/>
      <w:numFmt w:val="decimal"/>
      <w:lvlText w:val="%1.%2.%3.%4.%5.%6"/>
      <w:lvlJc w:val="left"/>
      <w:pPr>
        <w:tabs>
          <w:tab w:val="left" w:pos="0"/>
        </w:tabs>
        <w:ind w:left="0" w:firstLine="0"/>
      </w:pPr>
    </w:lvl>
    <w:lvl w:ilvl="6" w:tentative="0">
      <w:start w:val="1"/>
      <w:numFmt w:val="decimal"/>
      <w:lvlText w:val="%1.%2.%3.%4.%5.%6.%7"/>
      <w:lvlJc w:val="left"/>
      <w:pPr>
        <w:tabs>
          <w:tab w:val="left" w:pos="0"/>
        </w:tabs>
        <w:ind w:left="0" w:firstLine="0"/>
      </w:pPr>
    </w:lvl>
    <w:lvl w:ilvl="7" w:tentative="0">
      <w:start w:val="1"/>
      <w:numFmt w:val="decimal"/>
      <w:lvlText w:val="%1.%2.%3.%4.%5.%6.%7.%8"/>
      <w:lvlJc w:val="left"/>
      <w:pPr>
        <w:tabs>
          <w:tab w:val="left" w:pos="0"/>
        </w:tabs>
        <w:ind w:left="0" w:firstLine="0"/>
      </w:pPr>
    </w:lvl>
    <w:lvl w:ilvl="8" w:tentative="0">
      <w:start w:val="1"/>
      <w:numFmt w:val="decimal"/>
      <w:lvlText w:val="%1.%2.%3.%4.%5.%6.%7.%8.%9"/>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9D1957"/>
    <w:rsid w:val="05FB21A0"/>
    <w:rsid w:val="0D9D1957"/>
    <w:rsid w:val="0EA144E8"/>
    <w:rsid w:val="163A0AA1"/>
    <w:rsid w:val="1D4E1D3E"/>
    <w:rsid w:val="1E0F7CB7"/>
    <w:rsid w:val="2BE1271A"/>
    <w:rsid w:val="4A540315"/>
    <w:rsid w:val="672B2BE5"/>
    <w:rsid w:val="69295A3A"/>
    <w:rsid w:val="69CF2DBD"/>
    <w:rsid w:val="7AC54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toc 3"/>
    <w:basedOn w:val="1"/>
    <w:next w:val="1"/>
    <w:qFormat/>
    <w:uiPriority w:val="0"/>
    <w:pPr>
      <w:ind w:left="630" w:leftChars="300"/>
    </w:pPr>
    <w:rPr>
      <w:rFonts w:asciiTheme="minorAscii" w:hAnsiTheme="minorAscii"/>
    </w:rPr>
  </w:style>
  <w:style w:type="paragraph" w:styleId="7">
    <w:name w:val="toc 2"/>
    <w:basedOn w:val="1"/>
    <w:next w:val="1"/>
    <w:uiPriority w:val="0"/>
    <w:pPr>
      <w:ind w:left="210" w:leftChars="100"/>
    </w:pPr>
    <w:rPr>
      <w:rFonts w:asciiTheme="minorAscii" w:hAnsiTheme="minorAscii"/>
    </w:rPr>
  </w:style>
  <w:style w:type="paragraph" w:customStyle="1" w:styleId="10">
    <w:name w:val="1"/>
    <w:basedOn w:val="2"/>
    <w:next w:val="1"/>
    <w:qFormat/>
    <w:uiPriority w:val="0"/>
    <w:pPr>
      <w:snapToGrid w:val="0"/>
      <w:spacing w:line="360" w:lineRule="auto"/>
    </w:pPr>
    <w:rPr>
      <w:rFonts w:hint="eastAsia" w:ascii="宋体" w:hAnsi="宋体" w:cs="宋体"/>
      <w:bCs/>
      <w:sz w:val="24"/>
      <w:szCs w:val="32"/>
    </w:rPr>
  </w:style>
  <w:style w:type="paragraph" w:customStyle="1" w:styleId="11">
    <w:name w:val="2"/>
    <w:basedOn w:val="2"/>
    <w:next w:val="1"/>
    <w:qFormat/>
    <w:uiPriority w:val="0"/>
    <w:pPr>
      <w:snapToGrid w:val="0"/>
      <w:spacing w:before="120" w:after="120" w:line="360" w:lineRule="auto"/>
    </w:pPr>
    <w:rPr>
      <w:rFonts w:hint="eastAsia" w:ascii="宋体" w:hAnsi="宋体" w:eastAsia="宋体" w:cs="宋体"/>
      <w:bCs/>
      <w:sz w:val="24"/>
      <w:szCs w:val="32"/>
    </w:rPr>
  </w:style>
  <w:style w:type="paragraph" w:customStyle="1" w:styleId="12">
    <w:name w:val="3"/>
    <w:basedOn w:val="3"/>
    <w:next w:val="1"/>
    <w:uiPriority w:val="0"/>
    <w:pPr>
      <w:spacing w:before="140" w:after="140" w:line="360" w:lineRule="auto"/>
    </w:pPr>
    <w:rPr>
      <w:rFonts w:hint="eastAsia" w:ascii="宋体" w:hAnsi="宋体" w:eastAsia="宋体" w:cs="宋体"/>
      <w:bCs/>
      <w:sz w:val="24"/>
    </w:rPr>
  </w:style>
  <w:style w:type="paragraph" w:customStyle="1" w:styleId="13">
    <w:name w:val="4"/>
    <w:basedOn w:val="4"/>
    <w:next w:val="1"/>
    <w:qFormat/>
    <w:uiPriority w:val="0"/>
    <w:pPr>
      <w:numPr>
        <w:ilvl w:val="3"/>
        <w:numId w:val="1"/>
      </w:numPr>
      <w:spacing w:before="120" w:line="360" w:lineRule="auto"/>
    </w:pPr>
    <w:rPr>
      <w:rFonts w:hint="eastAsia" w:ascii="宋体" w:hAnsi="宋体" w:eastAsia="宋体" w:cs="宋体"/>
      <w:bCs/>
      <w:i/>
      <w:sz w:val="24"/>
      <w:szCs w:val="32"/>
      <w:lang w:val="en-GB"/>
    </w:rPr>
  </w:style>
  <w:style w:type="paragraph" w:customStyle="1" w:styleId="14">
    <w:name w:val="Q1"/>
    <w:basedOn w:val="1"/>
    <w:uiPriority w:val="0"/>
    <w:pPr>
      <w:spacing w:line="360" w:lineRule="auto"/>
      <w:ind w:firstLine="562" w:firstLineChars="200"/>
      <w:outlineLvl w:val="0"/>
    </w:pPr>
    <w:rPr>
      <w:rFonts w:hint="eastAsia" w:ascii="仿宋" w:hAnsi="仿宋" w:eastAsia="仿宋" w:cs="仿宋"/>
      <w:b/>
      <w:bCs/>
      <w:sz w:val="32"/>
      <w:szCs w:val="40"/>
    </w:rPr>
  </w:style>
  <w:style w:type="paragraph" w:customStyle="1" w:styleId="15">
    <w:name w:val="Q2"/>
    <w:basedOn w:val="1"/>
    <w:uiPriority w:val="0"/>
    <w:pPr>
      <w:spacing w:line="360" w:lineRule="auto"/>
      <w:ind w:firstLine="562" w:firstLineChars="200"/>
      <w:outlineLvl w:val="0"/>
    </w:pPr>
    <w:rPr>
      <w:rFonts w:hint="eastAsia" w:ascii="仿宋" w:hAnsi="仿宋" w:eastAsia="仿宋" w:cs="仿宋"/>
      <w:b/>
      <w:bCs/>
      <w:sz w:val="32"/>
      <w:szCs w:val="40"/>
    </w:r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2026-01-08T06:57:00Z</dcterms:created>
  <dc:creator>摆渡红尘</dc:creator>
  <cp:lastModifiedBy>摆渡红尘</cp:lastModifiedBy>
  <dcterms:modified xsi:type="dcterms:W3CDTF">2026-01-08T07:08:24Z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1C003029B79B4ABE9824A7FBFFC539CE_13</vt:lpwstr>
  </property>
  <property fmtid="{D5CDD505-2E9C-101B-9397-08002B2CF9AE}" pid="4" name="KSOTemplateDocerSaveRecord">
    <vt:lpwstr>eyJoZGlkIjoiMjVhYThlYjAzNjA5NDhiOWY4ZTZiYzdkYmFhNGY2NjIiLCJ1c2VySWQiOiIyOTc2NDM3NDYifQ==</vt:lpwstr>
  </property>
</Properties>
</file>