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版本号：ZCXG-ZB-202601220260310001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渭北煤化工业园区重大安全风险防控项目网络安全等级测评、商用密码应用测评、第三方软件测评服务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ZCXG-ZB-2026012</w:t>
      </w:r>
      <w:r>
        <w:br/>
      </w:r>
      <w:r>
        <w:br/>
      </w:r>
      <w:r>
        <w:br/>
      </w:r>
    </w:p>
    <w:p>
      <w:pPr>
        <w:pStyle w:val="null3"/>
        <w:jc w:val="center"/>
        <w:outlineLvl w:val="2"/>
      </w:pPr>
      <w:r>
        <w:rPr>
          <w:rFonts w:ascii="仿宋_GB2312" w:hAnsi="仿宋_GB2312" w:cs="仿宋_GB2312" w:eastAsia="仿宋_GB2312"/>
          <w:sz w:val="28"/>
          <w:b/>
        </w:rPr>
        <w:t>蒲城县应急管理局</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蒲城县应急管理局</w:t>
      </w:r>
      <w:r>
        <w:rPr>
          <w:rFonts w:ascii="仿宋_GB2312" w:hAnsi="仿宋_GB2312" w:cs="仿宋_GB2312" w:eastAsia="仿宋_GB2312"/>
        </w:rPr>
        <w:t>委托，拟对</w:t>
      </w:r>
      <w:r>
        <w:rPr>
          <w:rFonts w:ascii="仿宋_GB2312" w:hAnsi="仿宋_GB2312" w:cs="仿宋_GB2312" w:eastAsia="仿宋_GB2312"/>
        </w:rPr>
        <w:t>渭北煤化工业园区重大安全风险防控项目网络安全等级测评、商用密码应用测评、第三方软件测评服务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渭北煤化工业园区重大安全风险防控项目网络安全等级测评、商用密码应用测评、第三方软件测评服务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渭北煤化工业园区重大安全风险防控项目网络安全等级测评、商用密码应用测评、第三方软件测评服务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采购包1（商用密码应用测评）：属于专门面向中小企业采购。</w:t>
      </w:r>
    </w:p>
    <w:p>
      <w:pPr>
        <w:pStyle w:val="null3"/>
      </w:pPr>
      <w:r>
        <w:rPr>
          <w:rFonts w:ascii="仿宋_GB2312" w:hAnsi="仿宋_GB2312" w:cs="仿宋_GB2312" w:eastAsia="仿宋_GB2312"/>
        </w:rPr>
        <w:t>采购包2（网络安全等级测评和第三方软件测评）：属于专门面向中小企业采购。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2、履约能力声明：提供具有履行合同所必需的设备和专业技术能力的承诺；</w:t>
      </w:r>
    </w:p>
    <w:p>
      <w:pPr>
        <w:pStyle w:val="null3"/>
      </w:pPr>
      <w:r>
        <w:rPr>
          <w:rFonts w:ascii="仿宋_GB2312" w:hAnsi="仿宋_GB2312" w:cs="仿宋_GB2312" w:eastAsia="仿宋_GB2312"/>
        </w:rPr>
        <w:t>3、三年无违法声明：参加政府采购活动前3年内，在经营活动中没有重大违法记录的书面声明；</w:t>
      </w:r>
    </w:p>
    <w:p>
      <w:pPr>
        <w:pStyle w:val="null3"/>
      </w:pPr>
      <w:r>
        <w:rPr>
          <w:rFonts w:ascii="仿宋_GB2312" w:hAnsi="仿宋_GB2312" w:cs="仿宋_GB2312" w:eastAsia="仿宋_GB2312"/>
        </w:rPr>
        <w:t>4、社会保障资金缴纳证明：提供响应时间前一年内已缴存的至少一个月的社会保障资金缴存单据或社保机构开具的社会保险参保缴费情况证明，依法不需要缴纳社会保障资金的单位应提供相关证明材料；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7、资质证书：供应商须具有商用密码检测机构资质证书；</w:t>
      </w:r>
    </w:p>
    <w:p>
      <w:pPr>
        <w:pStyle w:val="null3"/>
      </w:pPr>
      <w:r>
        <w:rPr>
          <w:rFonts w:ascii="仿宋_GB2312" w:hAnsi="仿宋_GB2312" w:cs="仿宋_GB2312" w:eastAsia="仿宋_GB2312"/>
        </w:rPr>
        <w:t>8、非联合体声明：本项目不接受联合体。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2、履约能力声明：提供具有履行合同所必需的设备和专业技术能力的承诺；</w:t>
      </w:r>
    </w:p>
    <w:p>
      <w:pPr>
        <w:pStyle w:val="null3"/>
      </w:pPr>
      <w:r>
        <w:rPr>
          <w:rFonts w:ascii="仿宋_GB2312" w:hAnsi="仿宋_GB2312" w:cs="仿宋_GB2312" w:eastAsia="仿宋_GB2312"/>
        </w:rPr>
        <w:t>3、三年无违法声明：参加政府采购活动前3年内，在经营活动中没有重大违法记录的书面声明；</w:t>
      </w:r>
    </w:p>
    <w:p>
      <w:pPr>
        <w:pStyle w:val="null3"/>
      </w:pPr>
      <w:r>
        <w:rPr>
          <w:rFonts w:ascii="仿宋_GB2312" w:hAnsi="仿宋_GB2312" w:cs="仿宋_GB2312" w:eastAsia="仿宋_GB2312"/>
        </w:rPr>
        <w:t>4、社会保障资金缴纳证明：提供响应时间前一年内已缴存的至少一个月的社会保障资金缴存单据或社保机构开具的社会保险参保缴费情况证明，依法不需要缴纳社会保障资金的单位应提供相关证明材料；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7、资质证书：供应商须具有网络安全等级测评与检测评估机构服务认证证书，提供市场监督管理部门颁发的《检验检测机构资质认定证书》(许可使用标志CMA)。</w:t>
      </w:r>
    </w:p>
    <w:p>
      <w:pPr>
        <w:pStyle w:val="null3"/>
      </w:pPr>
      <w:r>
        <w:rPr>
          <w:rFonts w:ascii="仿宋_GB2312" w:hAnsi="仿宋_GB2312" w:cs="仿宋_GB2312" w:eastAsia="仿宋_GB2312"/>
        </w:rPr>
        <w:t>8、非联合体声明：本项目不接受联合体。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渭南市蒲城县东环路长乐街东段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采购包1：264,000.00元</w:t>
            </w:r>
          </w:p>
          <w:p>
            <w:pPr>
              <w:pStyle w:val="null3"/>
            </w:pPr>
            <w:r>
              <w:rPr>
                <w:rFonts w:ascii="仿宋_GB2312" w:hAnsi="仿宋_GB2312" w:cs="仿宋_GB2312" w:eastAsia="仿宋_GB2312"/>
              </w:rPr>
              <w:t>采购包2：319,000.00元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国家计委颁发的《招标代理服务收费管理暂行办法》（计价格[2002]1980号）、国家发展和改革委员会办公厅颁发的《关于招标代理服务收费有关问题的通知》（发改办价格[2003]857号）的有关规定执行。 2、成交单位在领取成交通知书前，须向采购代理机构一次性支付采购代理服务费。 代理费缴存账户： 开户名称：陕西众诚项目管理有限公司 开户银行：中国建设银行股份有限公司西安八里村支行 账号：6105 0172 3700 0000 1337（备注：项目名称+包号+代理服务费）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蒲城县应急管理局</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8"/>
          <w:color w:val="000000"/>
        </w:rPr>
        <w:t>渭北煤化工业园区重大安全风险防控项目是陕西省渭南市重点推进的安全生产基础设施项目，</w:t>
      </w:r>
      <w:r>
        <w:rPr>
          <w:rFonts w:ascii="仿宋_GB2312" w:hAnsi="仿宋_GB2312" w:cs="仿宋_GB2312" w:eastAsia="仿宋_GB2312"/>
          <w:sz w:val="28"/>
          <w:color w:val="000000"/>
        </w:rPr>
        <w:t>项目响应渭南市危险化学品安全监管要求，通过建设安全风险智能化管控平台，对园区生产经营单位、重点场所、重大危险源及基础设施进行实时监测预警，实现风险分区、报警分布等数据的可视化展示与上下联动管理</w:t>
      </w:r>
      <w:r>
        <w:rPr>
          <w:rFonts w:ascii="仿宋_GB2312" w:hAnsi="仿宋_GB2312" w:cs="仿宋_GB2312" w:eastAsia="仿宋_GB2312"/>
          <w:sz w:val="28"/>
          <w:color w:val="000000"/>
        </w:rPr>
        <w:t>；</w:t>
      </w:r>
      <w:r>
        <w:rPr>
          <w:rFonts w:ascii="仿宋_GB2312" w:hAnsi="仿宋_GB2312" w:cs="仿宋_GB2312" w:eastAsia="仿宋_GB2312"/>
          <w:sz w:val="28"/>
          <w:color w:val="000000"/>
        </w:rPr>
        <w:t>项目聚焦智能化管控，包括实时监测预警、多维度统计分析、数据可视化展示等功能，符合国家</w:t>
      </w:r>
      <w:r>
        <w:rPr>
          <w:rFonts w:ascii="仿宋_GB2312" w:hAnsi="仿宋_GB2312" w:cs="仿宋_GB2312" w:eastAsia="仿宋_GB2312"/>
          <w:sz w:val="28"/>
          <w:color w:val="000000"/>
        </w:rPr>
        <w:t>“工业互联网+危化安全生产”的场景建设要求。平台覆盖感知设备部署、网络通信、服务器基础设施，确保数据实时性和完整性</w:t>
      </w:r>
      <w:r>
        <w:rPr>
          <w:rFonts w:ascii="仿宋_GB2312" w:hAnsi="仿宋_GB2312" w:cs="仿宋_GB2312" w:eastAsia="仿宋_GB2312"/>
          <w:sz w:val="28"/>
          <w:color w:val="000000"/>
        </w:rPr>
        <w:t>，旨在提升化工园区安全风险防控能力，构建智能化安全管理体系。</w:t>
      </w:r>
    </w:p>
    <w:p>
      <w:pPr>
        <w:pStyle w:val="null3"/>
      </w:pPr>
      <w:r>
        <w:rPr>
          <w:rFonts w:ascii="仿宋_GB2312" w:hAnsi="仿宋_GB2312" w:cs="仿宋_GB2312" w:eastAsia="仿宋_GB2312"/>
          <w:sz w:val="28"/>
          <w:color w:val="000000"/>
        </w:rPr>
        <w:t>本次项目是针</w:t>
      </w:r>
      <w:r>
        <w:rPr>
          <w:rFonts w:ascii="仿宋_GB2312" w:hAnsi="仿宋_GB2312" w:cs="仿宋_GB2312" w:eastAsia="仿宋_GB2312"/>
          <w:sz w:val="28"/>
          <w:color w:val="000000"/>
        </w:rPr>
        <w:t>对</w:t>
      </w:r>
      <w:r>
        <w:rPr>
          <w:rFonts w:ascii="仿宋_GB2312" w:hAnsi="仿宋_GB2312" w:cs="仿宋_GB2312" w:eastAsia="仿宋_GB2312"/>
          <w:sz w:val="28"/>
          <w:color w:val="000000"/>
        </w:rPr>
        <w:t>渭北煤化工业园区重大安全风险防控项目</w:t>
      </w:r>
      <w:r>
        <w:rPr>
          <w:rFonts w:ascii="仿宋_GB2312" w:hAnsi="仿宋_GB2312" w:cs="仿宋_GB2312" w:eastAsia="仿宋_GB2312"/>
          <w:sz w:val="28"/>
          <w:color w:val="000000"/>
        </w:rPr>
        <w:t>中</w:t>
      </w:r>
      <w:r>
        <w:rPr>
          <w:rFonts w:ascii="仿宋_GB2312" w:hAnsi="仿宋_GB2312" w:cs="仿宋_GB2312" w:eastAsia="仿宋_GB2312"/>
          <w:sz w:val="28"/>
          <w:color w:val="000000"/>
        </w:rPr>
        <w:t>安全风险智能化管控平台</w:t>
      </w:r>
      <w:r>
        <w:rPr>
          <w:rFonts w:ascii="仿宋_GB2312" w:hAnsi="仿宋_GB2312" w:cs="仿宋_GB2312" w:eastAsia="仿宋_GB2312"/>
          <w:sz w:val="28"/>
          <w:color w:val="000000"/>
        </w:rPr>
        <w:t>基于平台科学性、稳定性和安全性需求，提供</w:t>
      </w:r>
      <w:r>
        <w:rPr>
          <w:rFonts w:ascii="仿宋_GB2312" w:hAnsi="仿宋_GB2312" w:cs="仿宋_GB2312" w:eastAsia="仿宋_GB2312"/>
          <w:sz w:val="28"/>
          <w:color w:val="000000"/>
        </w:rPr>
        <w:t>第三方安全测评及软件测试服务和商用密码应用安全性评估服务。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264,000.00</w:t>
      </w:r>
    </w:p>
    <w:p>
      <w:pPr>
        <w:pStyle w:val="null3"/>
      </w:pPr>
      <w:r>
        <w:rPr>
          <w:rFonts w:ascii="仿宋_GB2312" w:hAnsi="仿宋_GB2312" w:cs="仿宋_GB2312" w:eastAsia="仿宋_GB2312"/>
        </w:rPr>
        <w:t>采购包最高限价（元）: 264,000.00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商用密码应用测评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319,000.00</w:t>
      </w:r>
    </w:p>
    <w:p>
      <w:pPr>
        <w:pStyle w:val="null3"/>
      </w:pPr>
      <w:r>
        <w:rPr>
          <w:rFonts w:ascii="仿宋_GB2312" w:hAnsi="仿宋_GB2312" w:cs="仿宋_GB2312" w:eastAsia="仿宋_GB2312"/>
        </w:rPr>
        <w:t>采购包最高限价（元）: 319,000.00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网络安全等级测评和第三方软件测评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标的名称：商用密码应用测评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right="225" w:firstLine="560"/>
            </w:pPr>
            <w:r>
              <w:rPr>
                <w:rFonts w:ascii="仿宋_GB2312" w:hAnsi="仿宋_GB2312" w:cs="仿宋_GB2312" w:eastAsia="仿宋_GB2312"/>
                <w:sz w:val="28"/>
                <w:color w:val="000000"/>
              </w:rPr>
              <w:t>服务</w:t>
            </w:r>
            <w:r>
              <w:rPr>
                <w:rFonts w:ascii="仿宋_GB2312" w:hAnsi="仿宋_GB2312" w:cs="仿宋_GB2312" w:eastAsia="仿宋_GB2312"/>
                <w:sz w:val="28"/>
                <w:color w:val="000000"/>
              </w:rPr>
              <w:t>围绕密码合规与加密有效性，依据《密码法》及国密标准，确保系统商用密码使用合法、部署正确，切实保护敏感数据（如患者信息）加密安全。</w:t>
            </w:r>
            <w:r>
              <w:rPr>
                <w:rFonts w:ascii="仿宋_GB2312" w:hAnsi="仿宋_GB2312" w:cs="仿宋_GB2312" w:eastAsia="仿宋_GB2312"/>
                <w:sz w:val="21"/>
                <w:color w:val="000000"/>
              </w:rPr>
              <w:t xml:space="preserve"> </w:t>
            </w:r>
          </w:p>
          <w:p>
            <w:pPr>
              <w:pStyle w:val="null3"/>
              <w:spacing w:before="45"/>
              <w:ind w:right="225"/>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服务内容：</w:t>
            </w:r>
          </w:p>
          <w:p>
            <w:pPr>
              <w:pStyle w:val="null3"/>
              <w:spacing w:before="45"/>
              <w:ind w:right="225" w:firstLine="560"/>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密码技术应用测评</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物理与环境安全：身份鉴别、门禁</w:t>
            </w:r>
            <w:r>
              <w:rPr>
                <w:rFonts w:ascii="仿宋_GB2312" w:hAnsi="仿宋_GB2312" w:cs="仿宋_GB2312" w:eastAsia="仿宋_GB2312"/>
                <w:sz w:val="28"/>
              </w:rPr>
              <w:t>/视频记录完整性、密码模块实现。</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网络与通信安全：身份鉴别、访问控制信息完整性、通信数据保密性</w:t>
            </w:r>
            <w:r>
              <w:rPr>
                <w:rFonts w:ascii="仿宋_GB2312" w:hAnsi="仿宋_GB2312" w:cs="仿宋_GB2312" w:eastAsia="仿宋_GB2312"/>
                <w:sz w:val="28"/>
              </w:rPr>
              <w:t>/完整性、远程管理通道安全。</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设备与计算安全：身份鉴别、访问控制</w:t>
            </w:r>
            <w:r>
              <w:rPr>
                <w:rFonts w:ascii="仿宋_GB2312" w:hAnsi="仿宋_GB2312" w:cs="仿宋_GB2312" w:eastAsia="仿宋_GB2312"/>
                <w:sz w:val="28"/>
              </w:rPr>
              <w:t>/日志完整性、重要程序/数据完整性、密码模块实现。</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应用与数据安全：身份鉴别、访问控制</w:t>
            </w:r>
            <w:r>
              <w:rPr>
                <w:rFonts w:ascii="仿宋_GB2312" w:hAnsi="仿宋_GB2312" w:cs="仿宋_GB2312" w:eastAsia="仿宋_GB2312"/>
                <w:sz w:val="28"/>
              </w:rPr>
              <w:t>/数据保密性/完整性、不可否认性、密码模块实现。</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目标：验证密码应用是否达到对应安全等级的保护能力要求</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密钥管理测评</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全生命周期覆盖：生成、存储、分发、导入</w:t>
            </w:r>
            <w:r>
              <w:rPr>
                <w:rFonts w:ascii="仿宋_GB2312" w:hAnsi="仿宋_GB2312" w:cs="仿宋_GB2312" w:eastAsia="仿宋_GB2312"/>
                <w:sz w:val="28"/>
              </w:rPr>
              <w:t>/导出、使用、备份/恢复、归档、销毁。</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重点检测：密钥管理策略合规性、操作记录完整性、密码产品</w:t>
            </w:r>
            <w:r>
              <w:rPr>
                <w:rFonts w:ascii="仿宋_GB2312" w:hAnsi="仿宋_GB2312" w:cs="仿宋_GB2312" w:eastAsia="仿宋_GB2312"/>
                <w:sz w:val="28"/>
              </w:rPr>
              <w:t>/模块符合性（如GM/T 0028要求）。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安全管理测评</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制度：密码应用管理制度完善性。</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人员：岗位设置、培训与权限管理。</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实施：建设运行过程合规性。</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应急：应急预案与处置机制。</w:t>
            </w:r>
          </w:p>
          <w:p>
            <w:pPr>
              <w:pStyle w:val="null3"/>
              <w:ind w:left="15" w:firstLine="560"/>
              <w:jc w:val="left"/>
            </w:pPr>
            <w:r>
              <w:rPr>
                <w:rFonts w:ascii="仿宋_GB2312" w:hAnsi="仿宋_GB2312" w:cs="仿宋_GB2312" w:eastAsia="仿宋_GB2312"/>
                <w:sz w:val="28"/>
                <w:color w:val="000000"/>
              </w:rPr>
              <w:t>实施流程</w:t>
            </w:r>
            <w:r>
              <w:rPr>
                <w:rFonts w:ascii="仿宋_GB2312" w:hAnsi="仿宋_GB2312" w:cs="仿宋_GB2312" w:eastAsia="仿宋_GB2312"/>
                <w:sz w:val="28"/>
                <w:color w:val="000000"/>
              </w:rPr>
              <w:t>：</w:t>
            </w:r>
            <w:r>
              <w:rPr>
                <w:rFonts w:ascii="仿宋_GB2312" w:hAnsi="仿宋_GB2312" w:cs="仿宋_GB2312" w:eastAsia="仿宋_GB2312"/>
                <w:sz w:val="28"/>
                <w:color w:val="000000"/>
              </w:rPr>
              <w:t>测评准备</w:t>
            </w:r>
            <w:r>
              <w:rPr>
                <w:rFonts w:ascii="仿宋_GB2312" w:hAnsi="仿宋_GB2312" w:cs="仿宋_GB2312" w:eastAsia="仿宋_GB2312"/>
                <w:sz w:val="28"/>
                <w:color w:val="000000"/>
              </w:rPr>
              <w:t>→</w:t>
            </w:r>
            <w:r>
              <w:rPr>
                <w:rFonts w:ascii="仿宋_GB2312" w:hAnsi="仿宋_GB2312" w:cs="仿宋_GB2312" w:eastAsia="仿宋_GB2312"/>
                <w:sz w:val="28"/>
                <w:color w:val="000000"/>
              </w:rPr>
              <w:t>方案编制</w:t>
            </w:r>
            <w:r>
              <w:rPr>
                <w:rFonts w:ascii="仿宋_GB2312" w:hAnsi="仿宋_GB2312" w:cs="仿宋_GB2312" w:eastAsia="仿宋_GB2312"/>
                <w:sz w:val="28"/>
                <w:color w:val="000000"/>
              </w:rPr>
              <w:t>→</w:t>
            </w:r>
            <w:r>
              <w:rPr>
                <w:rFonts w:ascii="仿宋_GB2312" w:hAnsi="仿宋_GB2312" w:cs="仿宋_GB2312" w:eastAsia="仿宋_GB2312"/>
                <w:sz w:val="28"/>
                <w:color w:val="000000"/>
              </w:rPr>
              <w:t>现场测评</w:t>
            </w:r>
            <w:r>
              <w:rPr>
                <w:rFonts w:ascii="仿宋_GB2312" w:hAnsi="仿宋_GB2312" w:cs="仿宋_GB2312" w:eastAsia="仿宋_GB2312"/>
                <w:sz w:val="28"/>
                <w:color w:val="000000"/>
              </w:rPr>
              <w:t>→</w:t>
            </w:r>
            <w:r>
              <w:rPr>
                <w:rFonts w:ascii="仿宋_GB2312" w:hAnsi="仿宋_GB2312" w:cs="仿宋_GB2312" w:eastAsia="仿宋_GB2312"/>
                <w:sz w:val="28"/>
                <w:color w:val="000000"/>
              </w:rPr>
              <w:t>分析报告编制，全程需与运营方沟通。</w:t>
            </w:r>
          </w:p>
          <w:p>
            <w:pPr>
              <w:pStyle w:val="null3"/>
              <w:ind w:left="15" w:firstLine="560"/>
              <w:jc w:val="left"/>
            </w:pPr>
            <w:r>
              <w:rPr>
                <w:rFonts w:ascii="仿宋_GB2312" w:hAnsi="仿宋_GB2312" w:cs="仿宋_GB2312" w:eastAsia="仿宋_GB2312"/>
                <w:sz w:val="28"/>
                <w:color w:val="000000"/>
              </w:rPr>
              <w:t>现场测评方法：访谈、文档审查、配置检查、工具测试</w:t>
            </w:r>
            <w:r>
              <w:rPr>
                <w:rFonts w:ascii="仿宋_GB2312" w:hAnsi="仿宋_GB2312" w:cs="仿宋_GB2312" w:eastAsia="仿宋_GB2312"/>
                <w:sz w:val="28"/>
                <w:color w:val="000000"/>
              </w:rPr>
              <w:t>。</w:t>
            </w:r>
          </w:p>
          <w:p>
            <w:pPr>
              <w:pStyle w:val="null3"/>
              <w:spacing w:before="165"/>
              <w:ind w:left="855" w:right="105"/>
            </w:pPr>
            <w:r>
              <w:rPr>
                <w:rFonts w:ascii="仿宋_GB2312" w:hAnsi="仿宋_GB2312" w:cs="仿宋_GB2312" w:eastAsia="仿宋_GB2312"/>
                <w:sz w:val="28"/>
                <w:color w:val="000000"/>
              </w:rPr>
              <w:t>二、服务要求：</w:t>
            </w:r>
          </w:p>
          <w:p>
            <w:pPr>
              <w:pStyle w:val="null3"/>
              <w:spacing w:before="165"/>
              <w:ind w:right="105" w:firstLine="560"/>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根据</w:t>
            </w:r>
            <w:r>
              <w:rPr>
                <w:rFonts w:ascii="仿宋_GB2312" w:hAnsi="仿宋_GB2312" w:cs="仿宋_GB2312" w:eastAsia="仿宋_GB2312"/>
                <w:sz w:val="28"/>
                <w:color w:val="000000"/>
              </w:rPr>
              <w:t>GB/T 39786-2021《信息安全技术 信息系统密码应用基本要求》</w:t>
            </w:r>
            <w:r>
              <w:rPr>
                <w:rFonts w:ascii="仿宋_GB2312" w:hAnsi="仿宋_GB2312" w:cs="仿宋_GB2312" w:eastAsia="仿宋_GB2312"/>
                <w:sz w:val="28"/>
                <w:color w:val="000000"/>
              </w:rPr>
              <w:t>、</w:t>
            </w:r>
            <w:r>
              <w:rPr>
                <w:rFonts w:ascii="仿宋_GB2312" w:hAnsi="仿宋_GB2312" w:cs="仿宋_GB2312" w:eastAsia="仿宋_GB2312"/>
                <w:sz w:val="28"/>
                <w:color w:val="000000"/>
              </w:rPr>
              <w:t>GM/T 0115-2021《信息系统密码应用测评要求》</w:t>
            </w:r>
            <w:r>
              <w:rPr>
                <w:rFonts w:ascii="仿宋_GB2312" w:hAnsi="仿宋_GB2312" w:cs="仿宋_GB2312" w:eastAsia="仿宋_GB2312"/>
                <w:sz w:val="28"/>
                <w:color w:val="000000"/>
              </w:rPr>
              <w:t>、</w:t>
            </w:r>
            <w:r>
              <w:rPr>
                <w:rFonts w:ascii="仿宋_GB2312" w:hAnsi="仿宋_GB2312" w:cs="仿宋_GB2312" w:eastAsia="仿宋_GB2312"/>
                <w:sz w:val="28"/>
                <w:color w:val="000000"/>
              </w:rPr>
              <w:t>GM/T 0116-2021《信息系统密码应用测评过程指南》</w:t>
            </w:r>
            <w:r>
              <w:rPr>
                <w:rFonts w:ascii="仿宋_GB2312" w:hAnsi="仿宋_GB2312" w:cs="仿宋_GB2312" w:eastAsia="仿宋_GB2312"/>
                <w:sz w:val="28"/>
                <w:color w:val="000000"/>
              </w:rPr>
              <w:t>对渭北煤化工业园区重大安全风险防控项目</w:t>
            </w:r>
            <w:r>
              <w:rPr>
                <w:rFonts w:ascii="仿宋_GB2312" w:hAnsi="仿宋_GB2312" w:cs="仿宋_GB2312" w:eastAsia="仿宋_GB2312"/>
                <w:sz w:val="28"/>
                <w:color w:val="000000"/>
              </w:rPr>
              <w:t>安全风险智能化管控平台</w:t>
            </w:r>
            <w:r>
              <w:rPr>
                <w:rFonts w:ascii="仿宋_GB2312" w:hAnsi="仿宋_GB2312" w:cs="仿宋_GB2312" w:eastAsia="仿宋_GB2312"/>
                <w:sz w:val="28"/>
                <w:color w:val="000000"/>
              </w:rPr>
              <w:t>进行商用密码应用测评。</w:t>
            </w:r>
          </w:p>
          <w:p>
            <w:pPr>
              <w:pStyle w:val="null3"/>
              <w:ind w:left="15"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项目完结交付应包括：</w:t>
            </w:r>
            <w:r>
              <w:rPr>
                <w:rFonts w:ascii="仿宋_GB2312" w:hAnsi="仿宋_GB2312" w:cs="仿宋_GB2312" w:eastAsia="仿宋_GB2312"/>
                <w:sz w:val="28"/>
                <w:color w:val="000000"/>
              </w:rPr>
              <w:t>《商用密码应用安全性评估报告》</w:t>
            </w:r>
            <w:r>
              <w:rPr>
                <w:rFonts w:ascii="仿宋_GB2312" w:hAnsi="仿宋_GB2312" w:cs="仿宋_GB2312" w:eastAsia="仿宋_GB2312"/>
                <w:sz w:val="28"/>
                <w:color w:val="000000"/>
              </w:rPr>
              <w:t>和</w:t>
            </w:r>
            <w:r>
              <w:rPr>
                <w:rFonts w:ascii="仿宋_GB2312" w:hAnsi="仿宋_GB2312" w:cs="仿宋_GB2312" w:eastAsia="仿宋_GB2312"/>
                <w:sz w:val="28"/>
                <w:color w:val="000000"/>
              </w:rPr>
              <w:t>《商用密码应用方案评估报告》。</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标的名称：网络安全等级测评和第三方软件测评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left="15" w:right="225"/>
              <w:jc w:val="both"/>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服务内容：</w:t>
            </w:r>
          </w:p>
          <w:p>
            <w:pPr>
              <w:pStyle w:val="null3"/>
              <w:spacing w:before="45"/>
              <w:ind w:right="225" w:firstLine="516"/>
            </w:pPr>
            <w:r>
              <w:rPr>
                <w:rFonts w:ascii="仿宋_GB2312" w:hAnsi="仿宋_GB2312" w:cs="仿宋_GB2312" w:eastAsia="仿宋_GB2312"/>
                <w:sz w:val="28"/>
              </w:rPr>
              <w:t>1、</w:t>
            </w:r>
            <w:r>
              <w:rPr>
                <w:rFonts w:ascii="仿宋_GB2312" w:hAnsi="仿宋_GB2312" w:cs="仿宋_GB2312" w:eastAsia="仿宋_GB2312"/>
                <w:sz w:val="28"/>
              </w:rPr>
              <w:t>等</w:t>
            </w:r>
            <w:r>
              <w:rPr>
                <w:rFonts w:ascii="仿宋_GB2312" w:hAnsi="仿宋_GB2312" w:cs="仿宋_GB2312" w:eastAsia="仿宋_GB2312"/>
                <w:sz w:val="28"/>
              </w:rPr>
              <w:t>级保护测评服务聚焦合规备案与系统整体安全风险防控，依据网络安全相关法规及国标验证系统安全等级达标情况，抵御各类安全威胁，满足监管</w:t>
            </w:r>
            <w:r>
              <w:rPr>
                <w:rFonts w:ascii="仿宋_GB2312" w:hAnsi="仿宋_GB2312" w:cs="仿宋_GB2312" w:eastAsia="仿宋_GB2312"/>
              </w:rPr>
              <w:t xml:space="preserve"> </w:t>
            </w:r>
            <w:r>
              <w:rPr>
                <w:rFonts w:ascii="仿宋_GB2312" w:hAnsi="仿宋_GB2312" w:cs="仿宋_GB2312" w:eastAsia="仿宋_GB2312"/>
                <w:sz w:val="28"/>
              </w:rPr>
              <w:t>检查要求；服务从</w:t>
            </w:r>
            <w:r>
              <w:rPr>
                <w:rFonts w:ascii="仿宋_GB2312" w:hAnsi="仿宋_GB2312" w:cs="仿宋_GB2312" w:eastAsia="仿宋_GB2312"/>
                <w:sz w:val="28"/>
              </w:rPr>
              <w:t>“定级</w:t>
            </w:r>
            <w:r>
              <w:rPr>
                <w:rFonts w:ascii="仿宋_GB2312" w:hAnsi="仿宋_GB2312" w:cs="仿宋_GB2312" w:eastAsia="仿宋_GB2312"/>
                <w:sz w:val="28"/>
              </w:rPr>
              <w:t>-</w:t>
            </w:r>
            <w:r>
              <w:rPr>
                <w:rFonts w:ascii="仿宋_GB2312" w:hAnsi="仿宋_GB2312" w:cs="仿宋_GB2312" w:eastAsia="仿宋_GB2312"/>
                <w:sz w:val="28"/>
              </w:rPr>
              <w:t>备案</w:t>
            </w:r>
            <w:r>
              <w:rPr>
                <w:rFonts w:ascii="仿宋_GB2312" w:hAnsi="仿宋_GB2312" w:cs="仿宋_GB2312" w:eastAsia="仿宋_GB2312"/>
                <w:sz w:val="28"/>
              </w:rPr>
              <w:t>-</w:t>
            </w:r>
            <w:r>
              <w:rPr>
                <w:rFonts w:ascii="仿宋_GB2312" w:hAnsi="仿宋_GB2312" w:cs="仿宋_GB2312" w:eastAsia="仿宋_GB2312"/>
                <w:sz w:val="28"/>
              </w:rPr>
              <w:t>等级测评</w:t>
            </w:r>
            <w:r>
              <w:rPr>
                <w:rFonts w:ascii="仿宋_GB2312" w:hAnsi="仿宋_GB2312" w:cs="仿宋_GB2312" w:eastAsia="仿宋_GB2312"/>
                <w:sz w:val="28"/>
              </w:rPr>
              <w:t>-</w:t>
            </w:r>
            <w:r>
              <w:rPr>
                <w:rFonts w:ascii="仿宋_GB2312" w:hAnsi="仿宋_GB2312" w:cs="仿宋_GB2312" w:eastAsia="仿宋_GB2312"/>
                <w:sz w:val="28"/>
              </w:rPr>
              <w:t>安全建设整改</w:t>
            </w:r>
            <w:r>
              <w:rPr>
                <w:rFonts w:ascii="仿宋_GB2312" w:hAnsi="仿宋_GB2312" w:cs="仿宋_GB2312" w:eastAsia="仿宋_GB2312"/>
                <w:sz w:val="28"/>
              </w:rPr>
              <w:t>-</w:t>
            </w:r>
            <w:r>
              <w:rPr>
                <w:rFonts w:ascii="仿宋_GB2312" w:hAnsi="仿宋_GB2312" w:cs="仿宋_GB2312" w:eastAsia="仿宋_GB2312"/>
                <w:sz w:val="28"/>
              </w:rPr>
              <w:t>配合监督检查</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个环节做好等级保护工作。其中针对等级测评工作过程，依据国家关于信息系统安全等级保护的相关标准和规范要求，针对被测系统平台，开展安全物理环境、安全通信网络、安全区域边界、安全计算环境、安全管理中心、安全管理制度、安全管理机构、安全管理人员、安全建设管理、安全运维管理等方面的安全测评活动，分析系统平台存在的安全隐患及风险。测评过程包括：</w:t>
            </w:r>
          </w:p>
          <w:p>
            <w:pPr>
              <w:pStyle w:val="null3"/>
              <w:spacing w:before="45"/>
              <w:ind w:right="225" w:firstLine="516"/>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）测评准备：掌握被测系统的详细情况，准备测试工具，为编制测评方案做好准备。</w:t>
            </w:r>
          </w:p>
          <w:p>
            <w:pPr>
              <w:pStyle w:val="null3"/>
              <w:spacing w:before="45"/>
              <w:ind w:right="225" w:firstLine="516"/>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）方案编制：为现场测评提供最基本的文档和指导方案，确定与被测信息系统相适应的测评对象、测评指标及测评内容等，并根据需要重用或开发测评指导书，形成测评方案。</w:t>
            </w:r>
          </w:p>
          <w:p>
            <w:pPr>
              <w:pStyle w:val="null3"/>
              <w:spacing w:before="45"/>
              <w:ind w:right="225" w:firstLine="516"/>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）现场测评：按照测评方案的总体要求，严格按照测评指导书执行，分步实施所有测评项目，以了解系统的真实保护情况，获取足够证据，发现系统存在的安全问题。</w:t>
            </w:r>
          </w:p>
          <w:p>
            <w:pPr>
              <w:pStyle w:val="null3"/>
              <w:spacing w:before="45"/>
              <w:ind w:right="225" w:firstLine="516"/>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分析与报告编制：根据现场测评结果和相关标准要求，通过单项测评结果判定、单元测评结果判定、整体测评和风险分析等方法，找出整个系统的安全保护现状与相应等级的保护要求之间的差距，并分析这些差距导致被测系统面临的风险，从而给出等级测评结论，形成《网络安全等级保护测评报告》。</w:t>
            </w:r>
          </w:p>
          <w:p>
            <w:pPr>
              <w:pStyle w:val="null3"/>
              <w:spacing w:before="45"/>
              <w:ind w:right="225" w:firstLine="516"/>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）建设整改：将信息系统的安全建设整改需求落实到可操作的安全技术和管理上，提出能够实现的技术参数或制度及其具体规范。</w:t>
            </w:r>
          </w:p>
          <w:p>
            <w:pPr>
              <w:pStyle w:val="null3"/>
              <w:spacing w:before="45"/>
              <w:ind w:right="225" w:firstLine="516"/>
            </w:pPr>
            <w:r>
              <w:rPr>
                <w:rFonts w:ascii="仿宋_GB2312" w:hAnsi="仿宋_GB2312" w:cs="仿宋_GB2312" w:eastAsia="仿宋_GB2312"/>
                <w:sz w:val="28"/>
              </w:rPr>
              <w:t>2、</w:t>
            </w:r>
            <w:r>
              <w:rPr>
                <w:rFonts w:ascii="仿宋_GB2312" w:hAnsi="仿宋_GB2312" w:cs="仿宋_GB2312" w:eastAsia="仿宋_GB2312"/>
                <w:sz w:val="28"/>
              </w:rPr>
              <w:t>第三</w:t>
            </w:r>
            <w:r>
              <w:rPr>
                <w:rFonts w:ascii="仿宋_GB2312" w:hAnsi="仿宋_GB2312" w:cs="仿宋_GB2312" w:eastAsia="仿宋_GB2312"/>
                <w:sz w:val="28"/>
              </w:rPr>
              <w:t>方软件测评以质量验证和验收支持为核心，依据项目合同、需求规格及行业标准，验证系统功能、性能、兼容性等是否达标，提供客观检测报告支撑项目验收</w:t>
            </w:r>
            <w:r>
              <w:rPr>
                <w:rFonts w:ascii="仿宋_GB2312" w:hAnsi="仿宋_GB2312" w:cs="仿宋_GB2312" w:eastAsia="仿宋_GB2312"/>
              </w:rPr>
              <w:t xml:space="preserve"> </w:t>
            </w:r>
            <w:r>
              <w:rPr>
                <w:rFonts w:ascii="仿宋_GB2312" w:hAnsi="仿宋_GB2312" w:cs="仿宋_GB2312" w:eastAsia="仿宋_GB2312"/>
                <w:sz w:val="28"/>
              </w:rPr>
              <w:t>；服务依据国家标准及系统设计文档等要求，检验系统是否满足用户需求，保证信息系统工程质量、维护用户和软件提供商双方利益。通过评估系统的需求符合性，对系统进行功能测试、性能效率测试等方面进行专业的测试，为项目验收提供重要依据。主要包括：</w:t>
            </w:r>
          </w:p>
          <w:p>
            <w:pPr>
              <w:pStyle w:val="null3"/>
              <w:spacing w:before="45"/>
              <w:ind w:right="225" w:firstLine="560"/>
            </w:pPr>
            <w:r>
              <w:rPr>
                <w:rFonts w:ascii="仿宋_GB2312" w:hAnsi="仿宋_GB2312" w:cs="仿宋_GB2312" w:eastAsia="仿宋_GB2312"/>
                <w:sz w:val="28"/>
              </w:rPr>
              <w:t>（</w:t>
            </w:r>
            <w:r>
              <w:rPr>
                <w:rFonts w:ascii="仿宋_GB2312" w:hAnsi="仿宋_GB2312" w:cs="仿宋_GB2312" w:eastAsia="仿宋_GB2312"/>
                <w:sz w:val="28"/>
              </w:rPr>
              <w:t>1）功能测试：根据系统需求规格说明、系统设计文档中的功能需求，在集成测试阶段和投产试运行阶段对系统核心业务逻辑、各业务系统进行功能符合性测评。重点检查功能完备性、功能正确性、功能适合性以及功能依从性。</w:t>
            </w:r>
          </w:p>
          <w:p>
            <w:pPr>
              <w:pStyle w:val="null3"/>
              <w:spacing w:before="45"/>
              <w:ind w:right="225" w:firstLine="560"/>
            </w:pPr>
            <w:r>
              <w:rPr>
                <w:rFonts w:ascii="仿宋_GB2312" w:hAnsi="仿宋_GB2312" w:cs="仿宋_GB2312" w:eastAsia="仿宋_GB2312"/>
                <w:sz w:val="28"/>
              </w:rPr>
              <w:t>（</w:t>
            </w:r>
            <w:r>
              <w:rPr>
                <w:rFonts w:ascii="仿宋_GB2312" w:hAnsi="仿宋_GB2312" w:cs="仿宋_GB2312" w:eastAsia="仿宋_GB2312"/>
                <w:sz w:val="28"/>
              </w:rPr>
              <w:t>2）性能效率测试：依据系统使用场景和性能要求，确定性能和效率相关的业务测试案例。评估在不同并发用户量访问情况下的系统运行和响应效率测试。验证应用系统的各项性能指标是否满足性能需求，主要包括负载测试、压力测试等。</w:t>
            </w:r>
          </w:p>
          <w:p>
            <w:pPr>
              <w:pStyle w:val="null3"/>
              <w:spacing w:before="45"/>
              <w:ind w:right="225" w:firstLine="560"/>
            </w:pPr>
            <w:r>
              <w:rPr>
                <w:rFonts w:ascii="仿宋_GB2312" w:hAnsi="仿宋_GB2312" w:cs="仿宋_GB2312" w:eastAsia="仿宋_GB2312"/>
                <w:sz w:val="28"/>
              </w:rPr>
              <w:t>（</w:t>
            </w:r>
            <w:r>
              <w:rPr>
                <w:rFonts w:ascii="仿宋_GB2312" w:hAnsi="仿宋_GB2312" w:cs="仿宋_GB2312" w:eastAsia="仿宋_GB2312"/>
                <w:sz w:val="28"/>
              </w:rPr>
              <w:t>3）效率测试：主要目标是核实系统在所指定的业务功能下（预期并发量、预期业务峰值）的系统吞吐量和业务响应能力，评估系统瞬时峰值及日峰值处理量下的系统资源占用情况，并据此对系统的效率做出全面的评价。</w:t>
            </w:r>
          </w:p>
          <w:p>
            <w:pPr>
              <w:pStyle w:val="null3"/>
              <w:spacing w:before="45"/>
              <w:ind w:right="225" w:firstLine="560"/>
            </w:pPr>
            <w:r>
              <w:rPr>
                <w:rFonts w:ascii="仿宋_GB2312" w:hAnsi="仿宋_GB2312" w:cs="仿宋_GB2312" w:eastAsia="仿宋_GB2312"/>
                <w:sz w:val="28"/>
              </w:rPr>
              <w:t>3、</w:t>
            </w:r>
            <w:r>
              <w:rPr>
                <w:rFonts w:ascii="仿宋_GB2312" w:hAnsi="仿宋_GB2312" w:cs="仿宋_GB2312" w:eastAsia="仿宋_GB2312"/>
                <w:sz w:val="28"/>
                <w:color w:val="000000"/>
              </w:rPr>
              <w:t>安</w:t>
            </w:r>
            <w:r>
              <w:rPr>
                <w:rFonts w:ascii="仿宋_GB2312" w:hAnsi="仿宋_GB2312" w:cs="仿宋_GB2312" w:eastAsia="仿宋_GB2312"/>
                <w:sz w:val="28"/>
                <w:color w:val="000000"/>
              </w:rPr>
              <w:t>全性测试</w:t>
            </w:r>
            <w:r>
              <w:rPr>
                <w:rFonts w:ascii="仿宋_GB2312" w:hAnsi="仿宋_GB2312" w:cs="仿宋_GB2312" w:eastAsia="仿宋_GB2312"/>
                <w:sz w:val="28"/>
                <w:color w:val="000000"/>
              </w:rPr>
              <w:t>根据系统的功能特点，结合应用功能点可能存在的安全隐患，发现系统中存在的漏洞，并且利用漏洞对系统进行模拟黑客行为的攻击，从而测试漏洞在系统中产生的影响，整体评估安全漏洞可能会产生的危害。包括人工渗透测试和工具扫描等方法。</w:t>
            </w:r>
            <w:r>
              <w:rPr>
                <w:rFonts w:ascii="仿宋_GB2312" w:hAnsi="仿宋_GB2312" w:cs="仿宋_GB2312" w:eastAsia="仿宋_GB2312"/>
                <w:sz w:val="28"/>
                <w:color w:val="000000"/>
              </w:rPr>
              <w:t>主要内容包括：登录验证缺陷，即有无弱口令、登录绕过、暴力破解、登录信息提示等漏洞；敏感信息泄露，即信息泄露、路径泄露、备份文件泄露、代码泄露等漏洞；</w:t>
            </w:r>
            <w:r>
              <w:rPr>
                <w:rFonts w:ascii="仿宋_GB2312" w:hAnsi="仿宋_GB2312" w:cs="仿宋_GB2312" w:eastAsia="仿宋_GB2312"/>
                <w:sz w:val="28"/>
                <w:color w:val="000000"/>
              </w:rPr>
              <w:t>注入漏洞，即</w:t>
            </w:r>
            <w:r>
              <w:rPr>
                <w:rFonts w:ascii="仿宋_GB2312" w:hAnsi="仿宋_GB2312" w:cs="仿宋_GB2312" w:eastAsia="仿宋_GB2312"/>
                <w:sz w:val="28"/>
                <w:color w:val="000000"/>
              </w:rPr>
              <w:t>SQL注入、空字节注入、XML注入等漏洞；跨站漏洞，即跨站脚本、跨站请求伪造、URL重定向等漏洞；文件读写漏洞，即任意文件创建、删除、读取、下载、上传、目录穿越、目录遍历、本地文件包含等漏洞；安全配置错误，即运维人员失误造成的默认端口、默认密码、默认配置，从而导致被攻击；命令执行，即代码执行、解析错误、命令执行等漏洞；逻辑漏洞，即越权访问和密码重置等漏洞；内容篡改，即嵌入恶意代码或一些开发人员为了维护方便，特意留存的特殊代码，影响应用程序安全性；以及其他漏洞等。</w:t>
            </w:r>
          </w:p>
          <w:p>
            <w:pPr>
              <w:pStyle w:val="null3"/>
              <w:spacing w:before="30"/>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服务要求</w:t>
            </w:r>
          </w:p>
          <w:p>
            <w:pPr>
              <w:pStyle w:val="null3"/>
              <w:spacing w:before="165"/>
              <w:ind w:right="105" w:firstLine="560"/>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根据《网络安全等级保护基本要求》（</w:t>
            </w:r>
            <w:r>
              <w:rPr>
                <w:rFonts w:ascii="仿宋_GB2312" w:hAnsi="仿宋_GB2312" w:cs="仿宋_GB2312" w:eastAsia="仿宋_GB2312"/>
                <w:sz w:val="28"/>
                <w:color w:val="000000"/>
              </w:rPr>
              <w:t>GB/T 22239-2019）、《信 息安全技术网络安全等级保护安全设计技术要求》（GB/T25070-2019）、《信息安全技术 网络安全保护等级定级指南》（GB/T 22240-2020）、《信息安全技术 网络安全等级保护实施指南》（GB/T 25058-2019）， 对渭北煤化工业园区重大安全风险防控项目</w:t>
            </w:r>
            <w:r>
              <w:rPr>
                <w:rFonts w:ascii="仿宋_GB2312" w:hAnsi="仿宋_GB2312" w:cs="仿宋_GB2312" w:eastAsia="仿宋_GB2312"/>
                <w:sz w:val="28"/>
                <w:color w:val="000000"/>
              </w:rPr>
              <w:t>安全风险智能化管控平台</w:t>
            </w:r>
            <w:r>
              <w:rPr>
                <w:rFonts w:ascii="仿宋_GB2312" w:hAnsi="仿宋_GB2312" w:cs="仿宋_GB2312" w:eastAsia="仿宋_GB2312"/>
                <w:sz w:val="28"/>
                <w:color w:val="000000"/>
              </w:rPr>
              <w:t>进行网络安全等级保护</w:t>
            </w:r>
            <w:r>
              <w:rPr>
                <w:rFonts w:ascii="仿宋_GB2312" w:hAnsi="仿宋_GB2312" w:cs="仿宋_GB2312" w:eastAsia="仿宋_GB2312"/>
                <w:sz w:val="28"/>
                <w:color w:val="000000"/>
              </w:rPr>
              <w:t>2.0 三级测评。</w:t>
            </w:r>
          </w:p>
          <w:p>
            <w:pPr>
              <w:pStyle w:val="null3"/>
              <w:spacing w:before="165"/>
              <w:ind w:right="105" w:firstLine="560"/>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根据</w:t>
            </w:r>
            <w:r>
              <w:rPr>
                <w:rFonts w:ascii="仿宋_GB2312" w:hAnsi="仿宋_GB2312" w:cs="仿宋_GB2312" w:eastAsia="仿宋_GB2312"/>
                <w:sz w:val="28"/>
                <w:color w:val="000000"/>
              </w:rPr>
              <w:t>GB/T 25000.51-2016《系统与软件工程 系统与软件质量要求和评价》</w:t>
            </w:r>
            <w:r>
              <w:rPr>
                <w:rFonts w:ascii="仿宋_GB2312" w:hAnsi="仿宋_GB2312" w:cs="仿宋_GB2312" w:eastAsia="仿宋_GB2312"/>
                <w:sz w:val="28"/>
                <w:color w:val="000000"/>
              </w:rPr>
              <w:t>对渭北煤化工业园区重大安全风险防控项目</w:t>
            </w:r>
            <w:r>
              <w:rPr>
                <w:rFonts w:ascii="仿宋_GB2312" w:hAnsi="仿宋_GB2312" w:cs="仿宋_GB2312" w:eastAsia="仿宋_GB2312"/>
                <w:sz w:val="28"/>
                <w:color w:val="000000"/>
              </w:rPr>
              <w:t>安全风险智能化管控平台</w:t>
            </w:r>
            <w:r>
              <w:rPr>
                <w:rFonts w:ascii="仿宋_GB2312" w:hAnsi="仿宋_GB2312" w:cs="仿宋_GB2312" w:eastAsia="仿宋_GB2312"/>
                <w:sz w:val="28"/>
                <w:color w:val="000000"/>
              </w:rPr>
              <w:t>进行第三方软件测试。</w:t>
            </w:r>
          </w:p>
          <w:p>
            <w:pPr>
              <w:pStyle w:val="null3"/>
              <w:spacing w:before="165"/>
              <w:ind w:right="105" w:firstLine="560"/>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根据</w:t>
            </w:r>
            <w:r>
              <w:rPr>
                <w:rFonts w:ascii="仿宋_GB2312" w:hAnsi="仿宋_GB2312" w:cs="仿宋_GB2312" w:eastAsia="仿宋_GB2312"/>
                <w:sz w:val="28"/>
                <w:color w:val="000000"/>
              </w:rPr>
              <w:t>GB/T 43741-2024《网络安全技术 网络安全众测服务要求》</w:t>
            </w:r>
            <w:r>
              <w:rPr>
                <w:rFonts w:ascii="仿宋_GB2312" w:hAnsi="仿宋_GB2312" w:cs="仿宋_GB2312" w:eastAsia="仿宋_GB2312"/>
                <w:sz w:val="28"/>
                <w:color w:val="000000"/>
              </w:rPr>
              <w:t>、</w:t>
            </w:r>
            <w:r>
              <w:rPr>
                <w:rFonts w:ascii="仿宋_GB2312" w:hAnsi="仿宋_GB2312" w:cs="仿宋_GB2312" w:eastAsia="仿宋_GB2312"/>
                <w:sz w:val="28"/>
                <w:color w:val="000000"/>
              </w:rPr>
              <w:t>GB/T 45577—2025《数据安全技术 数据安全风险评估方法》</w:t>
            </w:r>
            <w:r>
              <w:rPr>
                <w:rFonts w:ascii="仿宋_GB2312" w:hAnsi="仿宋_GB2312" w:cs="仿宋_GB2312" w:eastAsia="仿宋_GB2312"/>
                <w:sz w:val="28"/>
                <w:color w:val="000000"/>
              </w:rPr>
              <w:t>对渭北煤化工业园区重大安全风险防控项目</w:t>
            </w:r>
            <w:r>
              <w:rPr>
                <w:rFonts w:ascii="仿宋_GB2312" w:hAnsi="仿宋_GB2312" w:cs="仿宋_GB2312" w:eastAsia="仿宋_GB2312"/>
                <w:sz w:val="28"/>
                <w:color w:val="000000"/>
              </w:rPr>
              <w:t>安全风险智能化管控平台</w:t>
            </w:r>
            <w:r>
              <w:rPr>
                <w:rFonts w:ascii="仿宋_GB2312" w:hAnsi="仿宋_GB2312" w:cs="仿宋_GB2312" w:eastAsia="仿宋_GB2312"/>
                <w:sz w:val="28"/>
                <w:color w:val="000000"/>
              </w:rPr>
              <w:t>进行安全性渗透和漏扫。</w:t>
            </w:r>
          </w:p>
          <w:p>
            <w:pPr>
              <w:pStyle w:val="null3"/>
              <w:spacing w:before="165"/>
              <w:ind w:right="105" w:firstLine="560"/>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项目完结交付应包含：</w:t>
            </w:r>
          </w:p>
          <w:p>
            <w:pPr>
              <w:pStyle w:val="null3"/>
              <w:spacing w:before="165"/>
              <w:ind w:right="105" w:firstLine="560"/>
            </w:pPr>
            <w:r>
              <w:rPr>
                <w:rFonts w:ascii="仿宋_GB2312" w:hAnsi="仿宋_GB2312" w:cs="仿宋_GB2312" w:eastAsia="仿宋_GB2312"/>
                <w:sz w:val="28"/>
                <w:color w:val="000000"/>
              </w:rPr>
              <w:t>《信息系统安全等级测评报告》和《信息系统整改建议书》；</w:t>
            </w:r>
          </w:p>
          <w:p>
            <w:pPr>
              <w:pStyle w:val="null3"/>
              <w:spacing w:before="165"/>
              <w:ind w:right="105" w:firstLine="560"/>
            </w:pPr>
            <w:r>
              <w:rPr>
                <w:rFonts w:ascii="仿宋_GB2312" w:hAnsi="仿宋_GB2312" w:cs="仿宋_GB2312" w:eastAsia="仿宋_GB2312"/>
                <w:sz w:val="28"/>
                <w:color w:val="000000"/>
              </w:rPr>
              <w:t>《信息系统软件测试报告》；</w:t>
            </w:r>
          </w:p>
          <w:p>
            <w:pPr>
              <w:pStyle w:val="null3"/>
              <w:spacing w:before="165"/>
              <w:ind w:right="105" w:firstLine="560"/>
            </w:pPr>
            <w:r>
              <w:rPr>
                <w:rFonts w:ascii="仿宋_GB2312" w:hAnsi="仿宋_GB2312" w:cs="仿宋_GB2312" w:eastAsia="仿宋_GB2312"/>
                <w:sz w:val="28"/>
                <w:color w:val="000000"/>
              </w:rPr>
              <w:t>《信息系统渗透测试报告》和《信息系统漏洞检测报告》；</w:t>
            </w:r>
          </w:p>
          <w:p>
            <w:pPr>
              <w:pStyle w:val="null3"/>
              <w:spacing w:before="165"/>
              <w:ind w:right="105" w:firstLine="560"/>
            </w:pPr>
            <w:r>
              <w:rPr>
                <w:rFonts w:ascii="仿宋_GB2312" w:hAnsi="仿宋_GB2312" w:cs="仿宋_GB2312" w:eastAsia="仿宋_GB2312"/>
                <w:sz w:val="28"/>
                <w:color w:val="000000"/>
              </w:rPr>
              <w:t>协助办理等保备案手续。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自合同签订后接到采购人通知之日起60日内。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自合同签订后接到采购人通知之日起60日内。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渭北煤化工业园区。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渭北煤化工业园区。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验收合格条件为：符合国家标准和行业标准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后。验收合格条件为：符合国家标准和行业标准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所有服务内容完成后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所有服务内容完成后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2.供应商未按合同要求提供服务或服务质量不能满足技术要求，且在规定时间内未使采购人满意的，采购人有权解除合同，同时报请政府采购监管部门对其违约行为进行追究。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1、服务期:自合同签订后接到采购人通知之日起60日内。 2、付款方式:合同签订后支付合同总金额的40%，所有服务内容完成后支付至合同总金额的100%。（付款方式以此条为准） 3、服务地点:渭北煤化工业园区。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供应商须具有商用密码检测机构资质证书；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供应商须具有网络安全等级测评与检测评估机构服务认证证书，提供市场监督管理部门颁发的《检验检测机构资质认定证书》(许可使用标志CMA)。</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服务内容及服务邀请应答表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服务内容及服务邀请应答表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一、评审内容：①项目理解与需求分析；②密码应用安全性评估方案；③测评准备活动方案；④密保服务保障方案；⑤现场测评实施方案；⑥整改咨询与复测方案等； 二、评审标准： 1、完整性：方案须全面，对评审内容中的各项要求有详细描述及说明； 2、可实施性：切合本项目实际情况，实施步骤清晰、合理； 3、针对性：方案能够紧扣项目实际情况，内容科学合理； 三、赋分标准（满分18分）：每项评审内容每完全满足一项评审标准得1分，满分3分，共18分。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一、评审内容：①项目质量管理体系与制度；②合规性保障；③质量控制措施；④人员专业能力保障等；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一、评审内容：①项目进度计划；②进度管控机制；③资源保障；④质量与进度协同等；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风险防范</w:t>
            </w:r>
          </w:p>
        </w:tc>
        <w:tc>
          <w:tcPr>
            <w:tcW w:type="dxa" w:w="2492"/>
          </w:tcPr>
          <w:p>
            <w:pPr>
              <w:pStyle w:val="null3"/>
            </w:pPr>
            <w:r>
              <w:rPr>
                <w:rFonts w:ascii="仿宋_GB2312" w:hAnsi="仿宋_GB2312" w:cs="仿宋_GB2312" w:eastAsia="仿宋_GB2312"/>
              </w:rPr>
              <w:t>一、评审内容：①安全风险防范；②合规风险防范；③技术风险防范；④管理风险防范；⑤验收风险防范等； 二、评审标准： 1、完整性：方案须全面，对评审内容中的各项要求有详细描述及说明； 2、可实施性：切合本项目实际情况，实施步骤清晰、合理； 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售后服务及保密承诺</w:t>
            </w:r>
          </w:p>
        </w:tc>
        <w:tc>
          <w:tcPr>
            <w:tcW w:type="dxa" w:w="2492"/>
          </w:tcPr>
          <w:p>
            <w:pPr>
              <w:pStyle w:val="null3"/>
            </w:pPr>
            <w:r>
              <w:rPr>
                <w:rFonts w:ascii="仿宋_GB2312" w:hAnsi="仿宋_GB2312" w:cs="仿宋_GB2312" w:eastAsia="仿宋_GB2312"/>
              </w:rPr>
              <w:t>一、评审内容：①安全保障服务；②应急响应服务；③安全咨询服务；④售后服务的范围承诺；⑤保密承诺等； 二、评审标准： 1、完整性：方案须全面，对评审内容中的各项要求有详细描述及说明； 2、可实施性：切合本项目实际情况，实施步骤清晰、合理； 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配备团队人员</w:t>
            </w:r>
          </w:p>
        </w:tc>
        <w:tc>
          <w:tcPr>
            <w:tcW w:type="dxa" w:w="2492"/>
          </w:tcPr>
          <w:p>
            <w:pPr>
              <w:pStyle w:val="null3"/>
            </w:pPr>
            <w:r>
              <w:rPr>
                <w:rFonts w:ascii="仿宋_GB2312" w:hAnsi="仿宋_GB2312" w:cs="仿宋_GB2312" w:eastAsia="仿宋_GB2312"/>
              </w:rPr>
              <w:t>本项目的项目经理具备商用密码应用安全性评估从业人员考核合格证书得2分，同时具备项目管理专业人员PMP证书、信息系统项目管理师证书、注册信息安全专业人员（CISP）、信息安全保障人员认证证书（CISAW）、数据安全评估师认证证书（CCRC-DSA）的，每提供1个证书得1分，满分7分。 注：提供证书复印件或官网查询截图及近三个月社保缴纳证明并加盖单位公章。 1、本项目团队成员中至少包含5名（含项目经理）具备商用密码应用安全性评估从业人员考核合格证书，满足条件的得2分，其余得0分； 2、每增加1名成员具备商用密码应用安全性评估从业人员考核合格证书加1分，最多得3分。 注：提供证书复印件或官网查询截图及近三个月社保缴纳证明并加盖单位公章。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提供供应商2023年3月至投标截止日期前类似项目业绩，每提供1个得2分，满分6分 (以合同协议书或中标（成交）通知书内容为准)。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投标报价为评标基准价，其价格分为满分。价格分按照下列公式计算。磋商报价得分=（评标基准价/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一、评审内容：①项目理解与需求分析；②安全等级测评和第三方软件测评整体服务方案；③测评方法；④测评阶段服务方案；⑤分析与报告编制阶段服务方案；⑥报告交付内容及验收阶段服务方案等； 二、评审标准： 1、完整性：方案须全面，对评审内容中的各项要求有详细描述及说明； 2、可实施性：切合本项目实际情况，实施步骤清晰、合理； 3、针对性：方案能够紧扣项目实际情况，内容科学合理； 三、赋分标准（满分18分）：每项评审内容每完全满足一项评审标准得1分，满分3分，共18分。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一、评审内容：①项目质量管理体系与制度；②合规性保障；③质量控制措施；④人员专业能力保障等；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一、评审内容：①项目进度计划；②进度管控机制；③资源保障；④质量与进度协同等；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风险防范</w:t>
            </w:r>
          </w:p>
        </w:tc>
        <w:tc>
          <w:tcPr>
            <w:tcW w:type="dxa" w:w="2492"/>
          </w:tcPr>
          <w:p>
            <w:pPr>
              <w:pStyle w:val="null3"/>
            </w:pPr>
            <w:r>
              <w:rPr>
                <w:rFonts w:ascii="仿宋_GB2312" w:hAnsi="仿宋_GB2312" w:cs="仿宋_GB2312" w:eastAsia="仿宋_GB2312"/>
              </w:rPr>
              <w:t>一、评审内容：①安全风险防范；②合规风险防范；③技术风险防范；④管理风险防范；⑤验收风险防范等； 二、评审标准： 1、完整性：方案须全面，对评审内容中的各项要求有详细描述及说明； 2、可实施性：切合本项目实际情况，实施步骤清晰、合理； 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售后服务及保密承诺</w:t>
            </w:r>
          </w:p>
        </w:tc>
        <w:tc>
          <w:tcPr>
            <w:tcW w:type="dxa" w:w="2492"/>
          </w:tcPr>
          <w:p>
            <w:pPr>
              <w:pStyle w:val="null3"/>
            </w:pPr>
            <w:r>
              <w:rPr>
                <w:rFonts w:ascii="仿宋_GB2312" w:hAnsi="仿宋_GB2312" w:cs="仿宋_GB2312" w:eastAsia="仿宋_GB2312"/>
              </w:rPr>
              <w:t>一、评审内容：①安全保障服务；②应急响应服务；③安全咨询服务；④售后服务的范围承诺；⑤保密承诺等； 二、评审标准： 1、完整性：方案须全面，对评审内容中的各项要求有详细描述及说明； 2、可实施性：切合本项目实际情况，实施步骤清晰、合理； 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配备团队人员</w:t>
            </w:r>
          </w:p>
        </w:tc>
        <w:tc>
          <w:tcPr>
            <w:tcW w:type="dxa" w:w="2492"/>
          </w:tcPr>
          <w:p>
            <w:pPr>
              <w:pStyle w:val="null3"/>
            </w:pPr>
            <w:r>
              <w:rPr>
                <w:rFonts w:ascii="仿宋_GB2312" w:hAnsi="仿宋_GB2312" w:cs="仿宋_GB2312" w:eastAsia="仿宋_GB2312"/>
              </w:rPr>
              <w:t>本项目的项目经理为高级测评师得1分，同时具备高级网络信息安全工程师证书、信息系统项目管理师证书、高级系统规划与管理师证书的，每提供1个证书得1分，满分4分。 注：提供证书复印件或官网查询截图及近三个月社保缴纳证明并加盖单位公章。 1、本项目团队成员中至少包含3名（含项目经理）高级测评师，3 名中级测评师，满足条件的得2分，其余得0分； 2、每增加1名高级测评师加1分，最多得3分。 注：提供证书复印件或官网查询截图及近三个月社保缴纳证明并加盖单位公章。 投标人具有质量管理体系认证证书、职业健康安全管理体系认证证书、环境管理体系认证证书，每提供1个证书得1分，满分3分。 注：提供证书复印件并加盖单位公章。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提供供应商2023年3月至投标截止日期前类似项目业绩，每提供1个得2分，满分6分 (以合同协议书或中标（成交）通知书内容为准)。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投标报价为评标基准价，其价格分为满分。价格分按照下列公式计算。磋商报价得分=（评标基准价/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