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版本号：JZDCG-2026-01620260312001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洛滨镇农村人居环境整治设备采购项目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JZDCG-2026-016</w:t>
      </w:r>
      <w:r>
        <w:br/>
      </w:r>
      <w:r>
        <w:br/>
      </w:r>
      <w:r>
        <w:br/>
      </w:r>
    </w:p>
    <w:p>
      <w:pPr>
        <w:pStyle w:val="null3"/>
        <w:jc w:val="center"/>
        <w:outlineLvl w:val="2"/>
      </w:pPr>
      <w:r>
        <w:rPr>
          <w:rFonts w:ascii="仿宋_GB2312" w:hAnsi="仿宋_GB2312" w:cs="仿宋_GB2312" w:eastAsia="仿宋_GB2312"/>
          <w:sz w:val="28"/>
          <w:b/>
        </w:rPr>
        <w:t>蒲城县洛滨镇人民政府</w:t>
      </w:r>
    </w:p>
    <w:p>
      <w:pPr>
        <w:pStyle w:val="null3"/>
        <w:jc w:val="center"/>
        <w:outlineLvl w:val="2"/>
      </w:pPr>
      <w:r>
        <w:rPr>
          <w:rFonts w:ascii="仿宋_GB2312" w:hAnsi="仿宋_GB2312" w:cs="仿宋_GB2312" w:eastAsia="仿宋_GB2312"/>
          <w:sz w:val="28"/>
          <w:b/>
        </w:rPr>
        <w:t>陕西金准达项目管理有限责任公司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陕西金准达项目管理有限责任公司</w:t>
      </w:r>
      <w:r>
        <w:rPr>
          <w:rFonts w:ascii="仿宋_GB2312" w:hAnsi="仿宋_GB2312" w:cs="仿宋_GB2312" w:eastAsia="仿宋_GB2312"/>
        </w:rPr>
        <w:t>（以下简称“代理机构”）受</w:t>
      </w:r>
      <w:r>
        <w:rPr>
          <w:rFonts w:ascii="仿宋_GB2312" w:hAnsi="仿宋_GB2312" w:cs="仿宋_GB2312" w:eastAsia="仿宋_GB2312"/>
        </w:rPr>
        <w:t>蒲城县洛滨镇人民政府</w:t>
      </w:r>
      <w:r>
        <w:rPr>
          <w:rFonts w:ascii="仿宋_GB2312" w:hAnsi="仿宋_GB2312" w:cs="仿宋_GB2312" w:eastAsia="仿宋_GB2312"/>
        </w:rPr>
        <w:t>委托，拟对</w:t>
      </w:r>
      <w:r>
        <w:rPr>
          <w:rFonts w:ascii="仿宋_GB2312" w:hAnsi="仿宋_GB2312" w:cs="仿宋_GB2312" w:eastAsia="仿宋_GB2312"/>
        </w:rPr>
        <w:t>洛滨镇农村人居环境整治设备采购项目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JZDCG-2026-016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洛滨镇农村人居环境整治设备采购项目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本项目为蒲城县洛滨镇12个行政村农村人居环境整治设备采购，具体采购内容为：电动正三轮环卫转运车、油锯、打药机、打草机、正三轮抽粪车、环卫垃圾桶等。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1、主体经营资格：法人或者其他组织的营业执照等证明文件或者自然人身份证明；</w:t>
      </w:r>
    </w:p>
    <w:p>
      <w:pPr>
        <w:pStyle w:val="null3"/>
      </w:pPr>
      <w:r>
        <w:rPr>
          <w:rFonts w:ascii="仿宋_GB2312" w:hAnsi="仿宋_GB2312" w:cs="仿宋_GB2312" w:eastAsia="仿宋_GB2312"/>
        </w:rPr>
        <w:t>2、社会保障资金缴纳证明：自2025年08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p>
      <w:pPr>
        <w:pStyle w:val="null3"/>
      </w:pPr>
      <w:r>
        <w:rPr>
          <w:rFonts w:ascii="仿宋_GB2312" w:hAnsi="仿宋_GB2312" w:cs="仿宋_GB2312" w:eastAsia="仿宋_GB2312"/>
        </w:rPr>
        <w:t>3、税收缴纳证明：自2025年08月01日以来已缴存的至少一个月的纳税证明或完税证明，纳税证明或完税证明上应有代收机构或税务机关的公章或业务专用章。依法免税的投标人应提供相关文件证明。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信用查询：未被列入“信用中国”网站（www.creditchina.gov.cn）失信被执行人和重大税收违法案件当事人名单，不得为“中国政府采购网”(www.ccgp.gov.cn)政府采购严重违法失信行为记录名单中禁止参加政府采购活动的投标人。</w:t>
      </w:r>
    </w:p>
    <w:p>
      <w:pPr>
        <w:pStyle w:val="null3"/>
      </w:pPr>
      <w:r>
        <w:rPr>
          <w:rFonts w:ascii="仿宋_GB2312" w:hAnsi="仿宋_GB2312" w:cs="仿宋_GB2312" w:eastAsia="仿宋_GB2312"/>
        </w:rPr>
        <w:t>5、法定代表人授权委托书：须提供法定代表人授权书（附法定代表人、被授权人身份证复印件）；法定代表人直接参加投标的，须提供法定代表人身份证明文件。</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8、联合体不得参与：投标人应提供针对本项目的非联合体声明。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蒲城县洛滨镇人民政府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渭南市蒲城县洛滨镇214县道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李鸽宁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13892306605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陕西金准达项目管理有限责任公司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陕西省西安市高新区科技五路3号橡树星座B座902室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毕云、王军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029-89555599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保洁服（春秋装）、环卫垃圾桶</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开户名称：陕西金准达项目管理有限责任公司项目保证金专户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银行账号：129911244910001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招标代理服务收费管理暂行办法的通知》（计价格【2002】1980号）和国家发改委办公厅颁发的《关于招标代理服务收费有关问题的通知》（发改办价格【2003】857号）文件为计算依据计取，不足6000元按照6000元收取。 2、代理服务费的交纳方式：由中标人在领取中标通知书前向采购代理机构一次性支付； 开户名称：陕西金准达项目管理有限责任公司 开户银行：招商银行西安分行营业部 账 号：129911244910902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蒲城县洛滨镇人民政府</w:t>
      </w:r>
      <w:r>
        <w:rPr>
          <w:rFonts w:ascii="仿宋_GB2312" w:hAnsi="仿宋_GB2312" w:cs="仿宋_GB2312" w:eastAsia="仿宋_GB2312"/>
        </w:rPr>
        <w:t>和</w:t>
      </w:r>
      <w:r>
        <w:rPr>
          <w:rFonts w:ascii="仿宋_GB2312" w:hAnsi="仿宋_GB2312" w:cs="仿宋_GB2312" w:eastAsia="仿宋_GB2312"/>
        </w:rPr>
        <w:t>陕西金准达项目管理有限责任公司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蒲城县洛滨镇人民政府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陕西金准达项目管理有限责任公司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蒲城县洛滨镇人民政府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陕西金准达项目管理有限责任公司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联系人：毕云、王军</w:t>
      </w:r>
    </w:p>
    <w:p>
      <w:pPr>
        <w:pStyle w:val="null3"/>
      </w:pPr>
      <w:r>
        <w:rPr>
          <w:rFonts w:ascii="仿宋_GB2312" w:hAnsi="仿宋_GB2312" w:cs="仿宋_GB2312" w:eastAsia="仿宋_GB2312"/>
        </w:rPr>
        <w:t>联系电话：029-89555599</w:t>
      </w:r>
    </w:p>
    <w:p>
      <w:pPr>
        <w:pStyle w:val="null3"/>
      </w:pPr>
      <w:r>
        <w:rPr>
          <w:rFonts w:ascii="仿宋_GB2312" w:hAnsi="仿宋_GB2312" w:cs="仿宋_GB2312" w:eastAsia="仿宋_GB2312"/>
        </w:rPr>
        <w:t>地址：陕西省西安市高新区科技五路3号橡树星座B座902室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本项目为蒲城县洛滨镇12个行政村农村人居环境整治设备采购，具体采购内容为：电动正三轮环卫转运车、油锯、打药机、打草机、正三轮抽粪车、环卫垃圾桶等。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农村人居环境整治设备采购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标的名称：农村人居环境整治设备采购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电动正三轮环卫转运车（25辆）</w:t>
            </w:r>
          </w:p>
          <w:p>
            <w:pPr>
              <w:pStyle w:val="null3"/>
            </w:pPr>
            <w:r>
              <w:rPr>
                <w:rFonts w:ascii="仿宋_GB2312" w:hAnsi="仿宋_GB2312" w:cs="仿宋_GB2312" w:eastAsia="仿宋_GB2312"/>
              </w:rPr>
              <w:t>1、尺寸（mm）：</w:t>
            </w:r>
          </w:p>
          <w:p>
            <w:pPr>
              <w:pStyle w:val="null3"/>
            </w:pPr>
            <w:r>
              <w:rPr>
                <w:rFonts w:ascii="仿宋_GB2312" w:hAnsi="仿宋_GB2312" w:cs="仿宋_GB2312" w:eastAsia="仿宋_GB2312"/>
              </w:rPr>
              <w:t>整车尺寸≥长2900×宽1000×高1300；</w:t>
            </w:r>
          </w:p>
          <w:p>
            <w:pPr>
              <w:pStyle w:val="null3"/>
            </w:pPr>
            <w:r>
              <w:rPr>
                <w:rFonts w:ascii="仿宋_GB2312" w:hAnsi="仿宋_GB2312" w:cs="仿宋_GB2312" w:eastAsia="仿宋_GB2312"/>
              </w:rPr>
              <w:t>箱体尺寸≥长1500×宽1000×高800；</w:t>
            </w:r>
          </w:p>
          <w:p>
            <w:pPr>
              <w:pStyle w:val="null3"/>
            </w:pPr>
            <w:r>
              <w:rPr>
                <w:rFonts w:ascii="仿宋_GB2312" w:hAnsi="仿宋_GB2312" w:cs="仿宋_GB2312" w:eastAsia="仿宋_GB2312"/>
              </w:rPr>
              <w:t>★2、装载质量≥350kg；</w:t>
            </w:r>
          </w:p>
          <w:p>
            <w:pPr>
              <w:pStyle w:val="null3"/>
            </w:pPr>
            <w:r>
              <w:rPr>
                <w:rFonts w:ascii="仿宋_GB2312" w:hAnsi="仿宋_GB2312" w:cs="仿宋_GB2312" w:eastAsia="仿宋_GB2312"/>
              </w:rPr>
              <w:t>★3、容量≥1200L；</w:t>
            </w:r>
          </w:p>
          <w:p>
            <w:pPr>
              <w:pStyle w:val="null3"/>
            </w:pPr>
            <w:r>
              <w:rPr>
                <w:rFonts w:ascii="仿宋_GB2312" w:hAnsi="仿宋_GB2312" w:cs="仿宋_GB2312" w:eastAsia="仿宋_GB2312"/>
              </w:rPr>
              <w:t>4、轮距≥750mm；</w:t>
            </w:r>
          </w:p>
          <w:p>
            <w:pPr>
              <w:pStyle w:val="null3"/>
            </w:pPr>
            <w:r>
              <w:rPr>
                <w:rFonts w:ascii="仿宋_GB2312" w:hAnsi="仿宋_GB2312" w:cs="仿宋_GB2312" w:eastAsia="仿宋_GB2312"/>
              </w:rPr>
              <w:t>5、轴距≥2000mm；</w:t>
            </w:r>
          </w:p>
          <w:p>
            <w:pPr>
              <w:pStyle w:val="null3"/>
            </w:pPr>
            <w:r>
              <w:rPr>
                <w:rFonts w:ascii="仿宋_GB2312" w:hAnsi="仿宋_GB2312" w:cs="仿宋_GB2312" w:eastAsia="仿宋_GB2312"/>
              </w:rPr>
              <w:t>▲6、最小转弯半径：≤3m；</w:t>
            </w:r>
          </w:p>
          <w:p>
            <w:pPr>
              <w:pStyle w:val="null3"/>
            </w:pPr>
            <w:r>
              <w:rPr>
                <w:rFonts w:ascii="仿宋_GB2312" w:hAnsi="仿宋_GB2312" w:cs="仿宋_GB2312" w:eastAsia="仿宋_GB2312"/>
              </w:rPr>
              <w:t>▲7、最大爬坡度≥25°</w:t>
            </w:r>
          </w:p>
          <w:p>
            <w:pPr>
              <w:pStyle w:val="null3"/>
            </w:pPr>
            <w:r>
              <w:rPr>
                <w:rFonts w:ascii="仿宋_GB2312" w:hAnsi="仿宋_GB2312" w:cs="仿宋_GB2312" w:eastAsia="仿宋_GB2312"/>
              </w:rPr>
              <w:t>8、最高车速：最高车速≥30km/h；</w:t>
            </w:r>
          </w:p>
          <w:p>
            <w:pPr>
              <w:pStyle w:val="null3"/>
            </w:pPr>
            <w:r>
              <w:rPr>
                <w:rFonts w:ascii="仿宋_GB2312" w:hAnsi="仿宋_GB2312" w:cs="仿宋_GB2312" w:eastAsia="仿宋_GB2312"/>
              </w:rPr>
              <w:t>9、车架：整体焊接一体大梁，酸洗电泳烤漆；</w:t>
            </w:r>
          </w:p>
          <w:p>
            <w:pPr>
              <w:pStyle w:val="null3"/>
            </w:pPr>
            <w:r>
              <w:rPr>
                <w:rFonts w:ascii="仿宋_GB2312" w:hAnsi="仿宋_GB2312" w:cs="仿宋_GB2312" w:eastAsia="仿宋_GB2312"/>
              </w:rPr>
              <w:t>10、档位：配备前进和倒挡；</w:t>
            </w:r>
          </w:p>
          <w:p>
            <w:pPr>
              <w:pStyle w:val="null3"/>
            </w:pPr>
            <w:r>
              <w:rPr>
                <w:rFonts w:ascii="仿宋_GB2312" w:hAnsi="仿宋_GB2312" w:cs="仿宋_GB2312" w:eastAsia="仿宋_GB2312"/>
              </w:rPr>
              <w:t>11、转向机构：龙头把式转向；</w:t>
            </w:r>
          </w:p>
          <w:p>
            <w:pPr>
              <w:pStyle w:val="null3"/>
            </w:pPr>
            <w:r>
              <w:rPr>
                <w:rFonts w:ascii="仿宋_GB2312" w:hAnsi="仿宋_GB2312" w:cs="仿宋_GB2312" w:eastAsia="仿宋_GB2312"/>
              </w:rPr>
              <w:t>12、悬架：前悬架为弹簧式，后悬架为非独立悬架；</w:t>
            </w:r>
          </w:p>
          <w:p>
            <w:pPr>
              <w:pStyle w:val="null3"/>
            </w:pPr>
            <w:r>
              <w:rPr>
                <w:rFonts w:ascii="仿宋_GB2312" w:hAnsi="仿宋_GB2312" w:cs="仿宋_GB2312" w:eastAsia="仿宋_GB2312"/>
              </w:rPr>
              <w:t>13、后桥：一体式差速后桥；</w:t>
            </w:r>
          </w:p>
          <w:p>
            <w:pPr>
              <w:pStyle w:val="null3"/>
            </w:pPr>
            <w:r>
              <w:rPr>
                <w:rFonts w:ascii="仿宋_GB2312" w:hAnsi="仿宋_GB2312" w:cs="仿宋_GB2312" w:eastAsia="仿宋_GB2312"/>
              </w:rPr>
              <w:t>14、制动：行进时为脚踩机械连杆鼓式后轮制动、左手把式软轴前轮制动，驻车时为手动机械驻车制动；</w:t>
            </w:r>
          </w:p>
          <w:p>
            <w:pPr>
              <w:pStyle w:val="null3"/>
            </w:pPr>
            <w:r>
              <w:rPr>
                <w:rFonts w:ascii="仿宋_GB2312" w:hAnsi="仿宋_GB2312" w:cs="仿宋_GB2312" w:eastAsia="仿宋_GB2312"/>
              </w:rPr>
              <w:t>15、轮胎：适配轮胎；</w:t>
            </w:r>
          </w:p>
          <w:p>
            <w:pPr>
              <w:pStyle w:val="null3"/>
            </w:pPr>
            <w:r>
              <w:rPr>
                <w:rFonts w:ascii="仿宋_GB2312" w:hAnsi="仿宋_GB2312" w:cs="仿宋_GB2312" w:eastAsia="仿宋_GB2312"/>
              </w:rPr>
              <w:t>★16、额定功率≥1000W，无刷差速电机；</w:t>
            </w:r>
          </w:p>
          <w:p>
            <w:pPr>
              <w:pStyle w:val="null3"/>
            </w:pPr>
            <w:r>
              <w:rPr>
                <w:rFonts w:ascii="仿宋_GB2312" w:hAnsi="仿宋_GB2312" w:cs="仿宋_GB2312" w:eastAsia="仿宋_GB2312"/>
              </w:rPr>
              <w:t>17、60V，无刷直流电机控制器；</w:t>
            </w:r>
          </w:p>
          <w:p>
            <w:pPr>
              <w:pStyle w:val="null3"/>
            </w:pPr>
            <w:r>
              <w:rPr>
                <w:rFonts w:ascii="仿宋_GB2312" w:hAnsi="仿宋_GB2312" w:cs="仿宋_GB2312" w:eastAsia="仿宋_GB2312"/>
              </w:rPr>
              <w:t>★18、60V/20A，铅酸电池；</w:t>
            </w:r>
          </w:p>
          <w:p>
            <w:pPr>
              <w:pStyle w:val="null3"/>
            </w:pPr>
            <w:r>
              <w:rPr>
                <w:rFonts w:ascii="仿宋_GB2312" w:hAnsi="仿宋_GB2312" w:cs="仿宋_GB2312" w:eastAsia="仿宋_GB2312"/>
              </w:rPr>
              <w:t>▲19、充电时间：≤8小时；</w:t>
            </w:r>
          </w:p>
          <w:p>
            <w:pPr>
              <w:pStyle w:val="null3"/>
            </w:pPr>
            <w:r>
              <w:rPr>
                <w:rFonts w:ascii="仿宋_GB2312" w:hAnsi="仿宋_GB2312" w:cs="仿宋_GB2312" w:eastAsia="仿宋_GB2312"/>
              </w:rPr>
              <w:t>▲20、续航里程：≥30km；</w:t>
            </w:r>
          </w:p>
          <w:p>
            <w:pPr>
              <w:pStyle w:val="null3"/>
            </w:pPr>
            <w:r>
              <w:rPr>
                <w:rFonts w:ascii="仿宋_GB2312" w:hAnsi="仿宋_GB2312" w:cs="仿宋_GB2312" w:eastAsia="仿宋_GB2312"/>
              </w:rPr>
              <w:t>21、整车配备成型仪表台、电门锁、仪表、组合开关、充电器、组合前灯、转向灯、组合后尾灯、电喇叭、倒车蜂鸣器；</w:t>
            </w:r>
          </w:p>
          <w:p>
            <w:pPr>
              <w:pStyle w:val="null3"/>
            </w:pPr>
            <w:r>
              <w:rPr>
                <w:rFonts w:ascii="仿宋_GB2312" w:hAnsi="仿宋_GB2312" w:cs="仿宋_GB2312" w:eastAsia="仿宋_GB2312"/>
              </w:rPr>
              <w:t>22、驾驶位统一加装雨棚；</w:t>
            </w:r>
          </w:p>
          <w:p>
            <w:pPr>
              <w:pStyle w:val="null3"/>
            </w:pPr>
            <w:r>
              <w:rPr>
                <w:rFonts w:ascii="仿宋_GB2312" w:hAnsi="仿宋_GB2312" w:cs="仿宋_GB2312" w:eastAsia="仿宋_GB2312"/>
              </w:rPr>
              <w:t>23、箱体设计符合环卫需求，全密封结构（除顶部）；顶门（垃圾投放口）采用对折式；尾门向上开使垃圾倾倒作业。</w:t>
            </w:r>
          </w:p>
          <w:p>
            <w:pPr>
              <w:pStyle w:val="null3"/>
            </w:pPr>
            <w:r>
              <w:rPr>
                <w:rFonts w:ascii="仿宋_GB2312" w:hAnsi="仿宋_GB2312" w:cs="仿宋_GB2312" w:eastAsia="仿宋_GB2312"/>
                <w:u w:val="single"/>
              </w:rPr>
              <w:t>注：本产品为核心产品</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b/>
              </w:rPr>
              <w:t>保洁服（春秋装）（70套）</w:t>
            </w:r>
          </w:p>
          <w:p>
            <w:pPr>
              <w:pStyle w:val="null3"/>
            </w:pPr>
            <w:r>
              <w:rPr>
                <w:rFonts w:ascii="仿宋_GB2312" w:hAnsi="仿宋_GB2312" w:cs="仿宋_GB2312" w:eastAsia="仿宋_GB2312"/>
              </w:rPr>
              <w:t>1、规格：上衣、裤子各1件。男女同款。</w:t>
            </w:r>
          </w:p>
          <w:p>
            <w:pPr>
              <w:pStyle w:val="null3"/>
            </w:pPr>
            <w:r>
              <w:rPr>
                <w:rFonts w:ascii="仿宋_GB2312" w:hAnsi="仿宋_GB2312" w:cs="仿宋_GB2312" w:eastAsia="仿宋_GB2312"/>
              </w:rPr>
              <w:t>2、以橘色为主色调。</w:t>
            </w:r>
          </w:p>
          <w:p>
            <w:pPr>
              <w:pStyle w:val="null3"/>
            </w:pPr>
            <w:r>
              <w:rPr>
                <w:rFonts w:ascii="仿宋_GB2312" w:hAnsi="仿宋_GB2312" w:cs="仿宋_GB2312" w:eastAsia="仿宋_GB2312"/>
              </w:rPr>
              <w:t>3、产品符合国家或行业标准。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b/>
              </w:rPr>
              <w:t>油锯（12把）</w:t>
            </w:r>
          </w:p>
          <w:p>
            <w:pPr>
              <w:pStyle w:val="null3"/>
            </w:pPr>
            <w:r>
              <w:rPr>
                <w:rFonts w:ascii="仿宋_GB2312" w:hAnsi="仿宋_GB2312" w:cs="仿宋_GB2312" w:eastAsia="仿宋_GB2312"/>
              </w:rPr>
              <w:t>1、燃料：汽油+二冲程专用机油混合型；</w:t>
            </w:r>
          </w:p>
          <w:p>
            <w:pPr>
              <w:pStyle w:val="null3"/>
            </w:pPr>
            <w:r>
              <w:rPr>
                <w:rFonts w:ascii="仿宋_GB2312" w:hAnsi="仿宋_GB2312" w:cs="仿宋_GB2312" w:eastAsia="仿宋_GB2312"/>
              </w:rPr>
              <w:t>▲2、燃油箱容积≥500ml；</w:t>
            </w:r>
          </w:p>
          <w:p>
            <w:pPr>
              <w:pStyle w:val="null3"/>
            </w:pPr>
            <w:r>
              <w:rPr>
                <w:rFonts w:ascii="仿宋_GB2312" w:hAnsi="仿宋_GB2312" w:cs="仿宋_GB2312" w:eastAsia="仿宋_GB2312"/>
              </w:rPr>
              <w:t>▲3、机油箱容积≥200ml；</w:t>
            </w:r>
          </w:p>
          <w:p>
            <w:pPr>
              <w:pStyle w:val="null3"/>
            </w:pPr>
            <w:r>
              <w:rPr>
                <w:rFonts w:ascii="仿宋_GB2312" w:hAnsi="仿宋_GB2312" w:cs="仿宋_GB2312" w:eastAsia="仿宋_GB2312"/>
              </w:rPr>
              <w:t>4、导板尺寸：18或20寸；</w:t>
            </w:r>
          </w:p>
          <w:p>
            <w:pPr>
              <w:pStyle w:val="null3"/>
            </w:pPr>
            <w:r>
              <w:rPr>
                <w:rFonts w:ascii="仿宋_GB2312" w:hAnsi="仿宋_GB2312" w:cs="仿宋_GB2312" w:eastAsia="仿宋_GB2312"/>
              </w:rPr>
              <w:t>5、启动方式：自复位式手拉起动；</w:t>
            </w:r>
          </w:p>
          <w:p>
            <w:pPr>
              <w:pStyle w:val="null3"/>
            </w:pPr>
            <w:r>
              <w:rPr>
                <w:rFonts w:ascii="仿宋_GB2312" w:hAnsi="仿宋_GB2312" w:cs="仿宋_GB2312" w:eastAsia="仿宋_GB2312"/>
              </w:rPr>
              <w:t>6、配件包（配比壶、导板套、挡木板、点胶手套、扳手、螺丝刀）</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b/>
              </w:rPr>
              <w:t>打药机（12台）</w:t>
            </w:r>
          </w:p>
          <w:p>
            <w:pPr>
              <w:pStyle w:val="null3"/>
            </w:pPr>
            <w:r>
              <w:rPr>
                <w:rFonts w:ascii="仿宋_GB2312" w:hAnsi="仿宋_GB2312" w:cs="仿宋_GB2312" w:eastAsia="仿宋_GB2312"/>
              </w:rPr>
              <w:t>★1、电动车专用，能够适用于48V-72V电动车；</w:t>
            </w:r>
          </w:p>
          <w:p>
            <w:pPr>
              <w:pStyle w:val="null3"/>
            </w:pPr>
            <w:r>
              <w:rPr>
                <w:rFonts w:ascii="仿宋_GB2312" w:hAnsi="仿宋_GB2312" w:cs="仿宋_GB2312" w:eastAsia="仿宋_GB2312"/>
              </w:rPr>
              <w:t>▲2、配备≥30米长手摇式缠绕管；</w:t>
            </w:r>
          </w:p>
          <w:p>
            <w:pPr>
              <w:pStyle w:val="null3"/>
            </w:pPr>
            <w:r>
              <w:rPr>
                <w:rFonts w:ascii="仿宋_GB2312" w:hAnsi="仿宋_GB2312" w:cs="仿宋_GB2312" w:eastAsia="仿宋_GB2312"/>
              </w:rPr>
              <w:t>3、三缸柱塞泵；</w:t>
            </w:r>
          </w:p>
          <w:p>
            <w:pPr>
              <w:pStyle w:val="null3"/>
            </w:pPr>
            <w:r>
              <w:rPr>
                <w:rFonts w:ascii="仿宋_GB2312" w:hAnsi="仿宋_GB2312" w:cs="仿宋_GB2312" w:eastAsia="仿宋_GB2312"/>
              </w:rPr>
              <w:t>4、压力调节：0-10mpa或优于。</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b/>
              </w:rPr>
              <w:t>打草机（12台）</w:t>
            </w:r>
          </w:p>
          <w:p>
            <w:pPr>
              <w:pStyle w:val="null3"/>
            </w:pPr>
            <w:r>
              <w:rPr>
                <w:rFonts w:ascii="仿宋_GB2312" w:hAnsi="仿宋_GB2312" w:cs="仿宋_GB2312" w:eastAsia="仿宋_GB2312"/>
              </w:rPr>
              <w:t>1、二冲程侧挂式；</w:t>
            </w:r>
          </w:p>
          <w:p>
            <w:pPr>
              <w:pStyle w:val="null3"/>
            </w:pPr>
            <w:r>
              <w:rPr>
                <w:rFonts w:ascii="仿宋_GB2312" w:hAnsi="仿宋_GB2312" w:cs="仿宋_GB2312" w:eastAsia="仿宋_GB2312"/>
              </w:rPr>
              <w:t>2、形式：单缸、风冷、二冲程汽油机；</w:t>
            </w:r>
          </w:p>
          <w:p>
            <w:pPr>
              <w:pStyle w:val="null3"/>
            </w:pPr>
            <w:r>
              <w:rPr>
                <w:rFonts w:ascii="仿宋_GB2312" w:hAnsi="仿宋_GB2312" w:cs="仿宋_GB2312" w:eastAsia="仿宋_GB2312"/>
              </w:rPr>
              <w:t>3、排量≥30CC；</w:t>
            </w:r>
          </w:p>
          <w:p>
            <w:pPr>
              <w:pStyle w:val="null3"/>
            </w:pPr>
            <w:r>
              <w:rPr>
                <w:rFonts w:ascii="仿宋_GB2312" w:hAnsi="仿宋_GB2312" w:cs="仿宋_GB2312" w:eastAsia="仿宋_GB2312"/>
              </w:rPr>
              <w:t>▲4、输出功率≥1.4KW；</w:t>
            </w:r>
          </w:p>
          <w:p>
            <w:pPr>
              <w:pStyle w:val="null3"/>
            </w:pPr>
            <w:r>
              <w:rPr>
                <w:rFonts w:ascii="仿宋_GB2312" w:hAnsi="仿宋_GB2312" w:cs="仿宋_GB2312" w:eastAsia="仿宋_GB2312"/>
              </w:rPr>
              <w:t>5、传动方式：离心式摩擦离合器，软轴，硬轴，旋转伞齿轮；</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b/>
              </w:rPr>
              <w:t>正三轮抽粪车（1辆）</w:t>
            </w:r>
          </w:p>
          <w:p>
            <w:pPr>
              <w:pStyle w:val="null3"/>
            </w:pPr>
            <w:r>
              <w:rPr>
                <w:rFonts w:ascii="仿宋_GB2312" w:hAnsi="仿宋_GB2312" w:cs="仿宋_GB2312" w:eastAsia="仿宋_GB2312"/>
              </w:rPr>
              <w:t>▲1、储存罐体≥3立方；</w:t>
            </w:r>
          </w:p>
          <w:p>
            <w:pPr>
              <w:pStyle w:val="null3"/>
            </w:pPr>
            <w:r>
              <w:rPr>
                <w:rFonts w:ascii="仿宋_GB2312" w:hAnsi="仿宋_GB2312" w:cs="仿宋_GB2312" w:eastAsia="仿宋_GB2312"/>
              </w:rPr>
              <w:t>2、储存罐体材质：钢板</w:t>
            </w:r>
          </w:p>
          <w:p>
            <w:pPr>
              <w:pStyle w:val="null3"/>
            </w:pPr>
            <w:r>
              <w:rPr>
                <w:rFonts w:ascii="仿宋_GB2312" w:hAnsi="仿宋_GB2312" w:cs="仿宋_GB2312" w:eastAsia="仿宋_GB2312"/>
              </w:rPr>
              <w:t>★3、柴油发动机，≥国4排放标准；排量≥1030ml；</w:t>
            </w:r>
          </w:p>
          <w:p>
            <w:pPr>
              <w:pStyle w:val="null3"/>
            </w:pPr>
            <w:r>
              <w:rPr>
                <w:rFonts w:ascii="仿宋_GB2312" w:hAnsi="仿宋_GB2312" w:cs="仿宋_GB2312" w:eastAsia="仿宋_GB2312"/>
              </w:rPr>
              <w:t>4、高低速可调8档；</w:t>
            </w:r>
          </w:p>
          <w:p>
            <w:pPr>
              <w:pStyle w:val="null3"/>
            </w:pPr>
            <w:r>
              <w:rPr>
                <w:rFonts w:ascii="仿宋_GB2312" w:hAnsi="仿宋_GB2312" w:cs="仿宋_GB2312" w:eastAsia="仿宋_GB2312"/>
              </w:rPr>
              <w:t>5、轮胎：适配轮胎；</w:t>
            </w:r>
          </w:p>
          <w:p>
            <w:pPr>
              <w:pStyle w:val="null3"/>
            </w:pPr>
            <w:r>
              <w:rPr>
                <w:rFonts w:ascii="仿宋_GB2312" w:hAnsi="仿宋_GB2312" w:cs="仿宋_GB2312" w:eastAsia="仿宋_GB2312"/>
              </w:rPr>
              <w:t>▲6、自带一体吸粪泵及配备≥10米吸污管</w:t>
            </w:r>
          </w:p>
          <w:p>
            <w:pPr>
              <w:pStyle w:val="null3"/>
            </w:pPr>
            <w:r>
              <w:rPr>
                <w:rFonts w:ascii="仿宋_GB2312" w:hAnsi="仿宋_GB2312" w:cs="仿宋_GB2312" w:eastAsia="仿宋_GB2312"/>
              </w:rPr>
              <w:t>7、转向方式：方向盘。</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b/>
              </w:rPr>
              <w:t>环卫垃圾桶（3000个）</w:t>
            </w:r>
          </w:p>
          <w:p>
            <w:pPr>
              <w:pStyle w:val="null3"/>
            </w:pPr>
            <w:r>
              <w:rPr>
                <w:rFonts w:ascii="仿宋_GB2312" w:hAnsi="仿宋_GB2312" w:cs="仿宋_GB2312" w:eastAsia="仿宋_GB2312"/>
              </w:rPr>
              <w:t>1、50L聚丙烯（PP）材质环卫垃圾桶；</w:t>
            </w:r>
          </w:p>
          <w:p>
            <w:pPr>
              <w:pStyle w:val="null3"/>
            </w:pPr>
            <w:r>
              <w:rPr>
                <w:rFonts w:ascii="仿宋_GB2312" w:hAnsi="仿宋_GB2312" w:cs="仿宋_GB2312" w:eastAsia="仿宋_GB2312"/>
              </w:rPr>
              <w:t>2、桶自身重量：≥2000克。</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b/>
              </w:rPr>
              <w:t>注：</w:t>
            </w:r>
            <w:r>
              <w:rPr>
                <w:rFonts w:ascii="仿宋_GB2312" w:hAnsi="仿宋_GB2312" w:cs="仿宋_GB2312" w:eastAsia="仿宋_GB2312"/>
                <w:b/>
              </w:rPr>
              <w:t>以上参数供应商应在技术响应偏离表中逐条响应，如实填写，否则按无效投标处理，其中：</w:t>
            </w:r>
          </w:p>
          <w:p>
            <w:pPr>
              <w:pStyle w:val="null3"/>
              <w:jc w:val="both"/>
            </w:pPr>
            <w:r>
              <w:rPr>
                <w:rFonts w:ascii="仿宋_GB2312" w:hAnsi="仿宋_GB2312" w:cs="仿宋_GB2312" w:eastAsia="仿宋_GB2312"/>
              </w:rPr>
              <w:t>1、“★”为实质性参数，供应商必须满足其参数需求，否则按照无效投标处理；</w:t>
            </w:r>
          </w:p>
          <w:p>
            <w:pPr>
              <w:pStyle w:val="null3"/>
            </w:pPr>
            <w:r>
              <w:rPr>
                <w:rFonts w:ascii="仿宋_GB2312" w:hAnsi="仿宋_GB2312" w:cs="仿宋_GB2312" w:eastAsia="仿宋_GB2312"/>
              </w:rPr>
              <w:t>2、“▲”为重要性参数，允许负偏离，若不符合评审要求，可能会被扣分；</w:t>
            </w:r>
          </w:p>
          <w:p>
            <w:pPr>
              <w:pStyle w:val="null3"/>
            </w:pPr>
            <w:r>
              <w:rPr>
                <w:rFonts w:ascii="仿宋_GB2312" w:hAnsi="仿宋_GB2312" w:cs="仿宋_GB2312" w:eastAsia="仿宋_GB2312"/>
              </w:rPr>
              <w:t>3、除“★、▲”以外的参数，为一般性参数，允许负偏离，若不符合评审要求，可能会被扣分。</w:t>
            </w:r>
          </w:p>
          <w:p>
            <w:pPr>
              <w:pStyle w:val="null3"/>
            </w:pPr>
            <w:r>
              <w:rPr>
                <w:rFonts w:ascii="仿宋_GB2312" w:hAnsi="仿宋_GB2312" w:cs="仿宋_GB2312" w:eastAsia="仿宋_GB2312"/>
              </w:rPr>
              <w:t>4、实质性参数（标★项）及重要性参数（标▲项）供应商应提供相关证明材料（包含但不限于：①第三方检测机构出具的检测报告或②官网功能截图或③宣传彩页或④厂家出具的白皮书或⑤厂家出具的产品说明书等予以证明），并按投标文件格式要求附相关证明材料（其中</w:t>
            </w:r>
            <w:r>
              <w:rPr>
                <w:rFonts w:ascii="仿宋_GB2312" w:hAnsi="仿宋_GB2312" w:cs="仿宋_GB2312" w:eastAsia="仿宋_GB2312"/>
              </w:rPr>
              <w:t>标★项相关证明材料附在技术响应偏离表后，</w:t>
            </w:r>
            <w:r>
              <w:rPr>
                <w:rFonts w:ascii="仿宋_GB2312" w:hAnsi="仿宋_GB2312" w:cs="仿宋_GB2312" w:eastAsia="仿宋_GB2312"/>
              </w:rPr>
              <w:t>标▲项相关证明材料附在投标方案--产品技术参数1）</w:t>
            </w:r>
            <w:r>
              <w:rPr>
                <w:rFonts w:ascii="仿宋_GB2312" w:hAnsi="仿宋_GB2312" w:cs="仿宋_GB2312" w:eastAsia="仿宋_GB2312"/>
              </w:rPr>
              <w:t>。</w:t>
            </w:r>
          </w:p>
          <w:p>
            <w:pPr>
              <w:pStyle w:val="null3"/>
            </w:pPr>
            <w:r>
              <w:rPr>
                <w:rFonts w:ascii="仿宋_GB2312" w:hAnsi="仿宋_GB2312" w:cs="仿宋_GB2312" w:eastAsia="仿宋_GB2312"/>
              </w:rPr>
              <w:t>5、一般性参数（除标★、标▲项），供应商应在技术响应偏离表后附“针对响应内容真实性的承诺函”，对于虚假响应或承诺的，按照政府采购相关法律法规中有关“提供虚假材料的规定”进行处罚；对于响应及承诺后未按原响应内容及承诺内容履约的，采购人依法追究其违约责任。</w:t>
            </w:r>
          </w:p>
          <w:p>
            <w:pPr>
              <w:pStyle w:val="null3"/>
            </w:pPr>
            <w:r>
              <w:rPr>
                <w:rFonts w:ascii="仿宋_GB2312" w:hAnsi="仿宋_GB2312" w:cs="仿宋_GB2312" w:eastAsia="仿宋_GB2312"/>
              </w:rPr>
              <w:t>6、根据《政府采购促进中小企业发展管理办法》第四条“（一）在货物采购项目中，货物由中小企业制造，即货物由中小企业生产且使用该中小企业商号或者注册商标”则享受中小企业扶持政策。本项目采购标的共7项，如需填写中小企业声明函，采购标的应以此表描述为准，本项目标的所属行业为“工业”。否则按照无效处理，不予享受中小企业扶持政策。</w:t>
            </w:r>
          </w:p>
          <w:p>
            <w:pPr>
              <w:pStyle w:val="null3"/>
            </w:pPr>
            <w:r>
              <w:rPr>
                <w:rFonts w:ascii="仿宋_GB2312" w:hAnsi="仿宋_GB2312" w:cs="仿宋_GB2312" w:eastAsia="仿宋_GB2312"/>
              </w:rPr>
              <w:t>7、根据国办发〔2025〕34号《国务院办公厅关于在政府采购中实施本国产品标准及相关政策的通知》、陕财办采</w:t>
            </w:r>
            <w:r>
              <w:rPr>
                <w:rFonts w:ascii="仿宋_GB2312" w:hAnsi="仿宋_GB2312" w:cs="仿宋_GB2312" w:eastAsia="仿宋_GB2312"/>
              </w:rPr>
              <w:t>〔2026〕2号</w:t>
            </w:r>
            <w:r>
              <w:rPr>
                <w:rFonts w:ascii="仿宋_GB2312" w:hAnsi="仿宋_GB2312" w:cs="仿宋_GB2312" w:eastAsia="仿宋_GB2312"/>
              </w:rPr>
              <w:t>《</w:t>
            </w:r>
            <w:r>
              <w:rPr>
                <w:rFonts w:ascii="仿宋_GB2312" w:hAnsi="仿宋_GB2312" w:cs="仿宋_GB2312" w:eastAsia="仿宋_GB2312"/>
              </w:rPr>
              <w:t>陕西省财政厅关于在政府采购活动中实施本国产品标准及相关政策的通知</w:t>
            </w: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本项目采购含有多种产品，若供应商为本项目提供的符合本国产品标准的产品成本之和占本次提供的全部产品成本之和的比例达到80%以上时，依法对该供应商提供的全部产品给予价格评审优惠，即对该供应商提供的全部产品的总报价给予20%的价格扣除，用扣除后的价格参与评审。以供应商提供的“关于符合本国产品标准的声明函”为准。此项价格扣除与中小企业声明函价格扣除可同时生效。</w:t>
            </w:r>
          </w:p>
          <w:p>
            <w:pPr>
              <w:pStyle w:val="null3"/>
            </w:pPr>
            <w:r>
              <w:rPr>
                <w:rFonts w:ascii="仿宋_GB2312" w:hAnsi="仿宋_GB2312" w:cs="仿宋_GB2312" w:eastAsia="仿宋_GB2312"/>
              </w:rPr>
              <w:t>8、供应商可同时享受中小企业优惠政策与第7条优惠政策。</w:t>
            </w:r>
          </w:p>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自合同签订之日起20个日历日内交货、安装、调试完成。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到货验收合格后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初验：货物到达交货地点后，由采购方根据合同对货物（产品）的名称、品牌、规格、型号、产地、数量进行检查。 终验：由采购人进行终验（最终验收），合格后签发《终验合格单》。 2、验收不合格的中标单位，必须在接到通知后7个日历日内确保货物通过验收。若接到通知后7个日历日内验收仍不合格，采购人可提出索赔或取消其供货合同。 3、验收依据 （1）合同文本及合同补充文件（条款）。 （2）招标文件。 （3）中标人的投标文件。 （4）合同货物清单。 （5）其他证明资料。</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1、质保期为终验合格之日起1年。中标人承诺的质保时间超过上述要求的，按其承诺时间质保。 2、招标文件中技术参数中有规定的应以招标文件中技术参数要求为准，国家有规定的且优于招标文件的以国家规定为准。 3、所有产品质量必须符合国家有关规范和相关政策，所有产品必须是未使用过的新产品，质量优良、渠道正当，配置合理。 4、质保期出现的质量问题由中标人负责解决（调换）并承担所有费用。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一般资格审查证明材料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一般资格审查证明材料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2025年08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自2025年08月01日以来已缴存的至少一个月的纳税证明或完税证明，纳税证明或完税证明上应有代收机构或税务机关的公章或业务专用章。依法免税的投标人应提供相关文件证明。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未被列入“信用中国”网站（www.creditchina.gov.cn）失信被执行人和重大税收违法案件当事人名单，不得为“中国政府采购网”(www.ccgp.gov.cn)政府采购严重违法失信行为记录名单中禁止参加政府采购活动的投标人。</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须提供法定代表人授权书（附法定代表人、被授权人身份证复印件）；法定代表人直接参加投标的，须提供法定代表人身份证明文件。</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联合体不得参与</w:t>
            </w:r>
          </w:p>
        </w:tc>
        <w:tc>
          <w:tcPr>
            <w:tcW w:type="dxa" w:w="3322"/>
          </w:tcPr>
          <w:p>
            <w:pPr>
              <w:pStyle w:val="null3"/>
            </w:pPr>
            <w:r>
              <w:rPr>
                <w:rFonts w:ascii="仿宋_GB2312" w:hAnsi="仿宋_GB2312" w:cs="仿宋_GB2312" w:eastAsia="仿宋_GB2312"/>
              </w:rPr>
              <w:t>投标人应提供针对本项目的非联合体声明。</w:t>
            </w:r>
          </w:p>
        </w:tc>
        <w:tc>
          <w:tcPr>
            <w:tcW w:type="dxa" w:w="1661"/>
          </w:tcPr>
          <w:p>
            <w:pPr>
              <w:pStyle w:val="null3"/>
            </w:pPr>
            <w:r>
              <w:rPr>
                <w:rFonts w:ascii="仿宋_GB2312" w:hAnsi="仿宋_GB2312" w:cs="仿宋_GB2312" w:eastAsia="仿宋_GB2312"/>
              </w:rPr>
              <w:t>特殊资格审查证明材料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的报价明显低于其他实质性响应的投标人报价，有可能影响产品质量或者不能诚信履约的，按照《关于推动解决政府采购异常低价问题的通知》财库〔2026〕2号文件的要求，可启动政府采购异常低价审查，具体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投标人提交的相关证明材料，应当加盖供应商（法定名称）电子印章，在评标委员会要求的时间内通过项目电子化交易系统进行提交，否则提交的相关证明材料无效。投标人不能证明其报价合理性的，评标委员会应当将其响应文件作为无效处理。</w:t>
            </w:r>
          </w:p>
        </w:tc>
        <w:tc>
          <w:tcPr>
            <w:tcW w:type="dxa" w:w="1661"/>
          </w:tcPr>
          <w:p>
            <w:pPr>
              <w:pStyle w:val="null3"/>
            </w:pPr>
            <w:r>
              <w:rPr>
                <w:rFonts w:ascii="仿宋_GB2312" w:hAnsi="仿宋_GB2312" w:cs="仿宋_GB2312" w:eastAsia="仿宋_GB2312"/>
              </w:rPr>
              <w:t>开标一览表 分项报价明细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符合招标文件中“投标文件格式”要求</w:t>
            </w:r>
          </w:p>
        </w:tc>
        <w:tc>
          <w:tcPr>
            <w:tcW w:type="dxa" w:w="1661"/>
          </w:tcPr>
          <w:p>
            <w:pPr>
              <w:pStyle w:val="null3"/>
            </w:pPr>
            <w:r>
              <w:rPr>
                <w:rFonts w:ascii="仿宋_GB2312" w:hAnsi="仿宋_GB2312" w:cs="仿宋_GB2312" w:eastAsia="仿宋_GB2312"/>
              </w:rPr>
              <w:t>开标一览表 类似项目业绩一览表 投标方案--质量保障 投标方案--产品技术参数1 特殊资格审查证明材料 商务条款及其他要求响应偏离表 投标方案--供货实施方案 投标方案--产品来源 技术要求响应偏离表 投标函 一般资格审查证明材料 分项报价明细 关于符合本国产品标准的声明函 标的清单 投标文件封面 投标方案--培训方案 投标方案--售后服务</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文件应逐页盖章，有法定代表人或被授权人签字或盖章须按要求签字或盖章；</w:t>
            </w:r>
          </w:p>
        </w:tc>
        <w:tc>
          <w:tcPr>
            <w:tcW w:type="dxa" w:w="1661"/>
          </w:tcPr>
          <w:p>
            <w:pPr>
              <w:pStyle w:val="null3"/>
            </w:pPr>
            <w:r>
              <w:rPr>
                <w:rFonts w:ascii="仿宋_GB2312" w:hAnsi="仿宋_GB2312" w:cs="仿宋_GB2312" w:eastAsia="仿宋_GB2312"/>
              </w:rPr>
              <w:t>开标一览表 类似项目业绩一览表 中小企业声明函 投标方案--质量保障 投标方案--产品技术参数1 特殊资格审查证明材料 商务条款及其他要求响应偏离表 投标方案--供货实施方案 投标方案--产品来源 技术要求响应偏离表 投标函 残疾人福利性单位声明函 一般资格审查证明材料 分项报价明细 关于符合本国产品标准的声明函 标的清单 投标文件封面 投标方案--培训方案 投标方案--售后服务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只能有一个有效报价，且不能超过本项目采购预算（最高限价）</w:t>
            </w:r>
          </w:p>
        </w:tc>
        <w:tc>
          <w:tcPr>
            <w:tcW w:type="dxa" w:w="1661"/>
          </w:tcPr>
          <w:p>
            <w:pPr>
              <w:pStyle w:val="null3"/>
            </w:pPr>
            <w:r>
              <w:rPr>
                <w:rFonts w:ascii="仿宋_GB2312" w:hAnsi="仿宋_GB2312" w:cs="仿宋_GB2312" w:eastAsia="仿宋_GB2312"/>
              </w:rPr>
              <w:t>开标一览表 分项报价明细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应符合招标文件的要求</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类似项目业绩一览表 投标方案--质量保障 投标方案--产品技术参数1 特殊资格审查证明材料 商务条款及其他要求响应偏离表 投标方案--供货实施方案 投标方案--产品来源 技术要求响应偏离表 投标函 一般资格审查证明材料 分项报价明细 关于符合本国产品标准的声明函 标的清单 投标文件封面 投标方案--培训方案 投标方案--售后服务</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类似项目业绩一览表 投标方案--质量保障 投标方案--产品技术参数1 特殊资格审查证明材料 商务条款及其他要求响应偏离表 投标方案--供货实施方案 投标方案--产品来源 技术要求响应偏离表 投标函 一般资格审查证明材料 分项报价明细 关于符合本国产品标准的声明函 标的清单 投标文件封面 投标方案--培训方案 投标方案--售后服务</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产品来源</w:t>
            </w:r>
          </w:p>
        </w:tc>
        <w:tc>
          <w:tcPr>
            <w:tcW w:type="dxa" w:w="2492"/>
          </w:tcPr>
          <w:p>
            <w:pPr>
              <w:pStyle w:val="null3"/>
            </w:pPr>
            <w:r>
              <w:rPr>
                <w:rFonts w:ascii="仿宋_GB2312" w:hAnsi="仿宋_GB2312" w:cs="仿宋_GB2312" w:eastAsia="仿宋_GB2312"/>
              </w:rPr>
              <w:t>投标人提供“技术参数与性能指标”中序号1、2、3、4、5、6、7对应产品的合法来源渠道证明文件（投标人为代理商的提供包含但不限于：产品制造商授权或销售协议或代理协议或进货单等证明材料，投标人为制造商的提供产品为自己制造的说明材料），每提供一份合格的证明材料得1分，本项最高得7分；注：未提供合法来源渠道证明材料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投标方案--产品来源</w:t>
            </w:r>
          </w:p>
        </w:tc>
      </w:tr>
      <w:tr>
        <w:tc>
          <w:tcPr>
            <w:tcW w:type="dxa" w:w="831"/>
            <w:vMerge/>
          </w:tcPr>
          <w:p/>
        </w:tc>
        <w:tc>
          <w:tcPr>
            <w:tcW w:type="dxa" w:w="1661"/>
          </w:tcPr>
          <w:p>
            <w:pPr>
              <w:pStyle w:val="null3"/>
            </w:pPr>
            <w:r>
              <w:rPr>
                <w:rFonts w:ascii="仿宋_GB2312" w:hAnsi="仿宋_GB2312" w:cs="仿宋_GB2312" w:eastAsia="仿宋_GB2312"/>
              </w:rPr>
              <w:t>产品技术参数1</w:t>
            </w:r>
          </w:p>
        </w:tc>
        <w:tc>
          <w:tcPr>
            <w:tcW w:type="dxa" w:w="2492"/>
          </w:tcPr>
          <w:p>
            <w:pPr>
              <w:pStyle w:val="null3"/>
            </w:pPr>
            <w:r>
              <w:rPr>
                <w:rFonts w:ascii="仿宋_GB2312" w:hAnsi="仿宋_GB2312" w:cs="仿宋_GB2312" w:eastAsia="仿宋_GB2312"/>
              </w:rPr>
              <w:t>“技术参数与性能指标”中标“▲”的共10项为主要技术参数要求。投标人全部满足要求的得10分，每有一项不满足的扣1分，扣完10分为止。 注：标“▲”的主要技术参数要求投标人提供充足的佐证材料（包含但不限于：①第三方检测机构出具的检测报告或②官网功能截图或③宣传彩页或④厂家出具的白皮书或⑤厂家出具的产品说明书等）予以佐证，佐证材料应编制在投标文件中，投标人自行承担因佐证材料不全而被视为技术参数不符合打分要求的风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投标方案--产品技术参数1</w:t>
            </w:r>
          </w:p>
        </w:tc>
      </w:tr>
      <w:tr>
        <w:tc>
          <w:tcPr>
            <w:tcW w:type="dxa" w:w="831"/>
            <w:vMerge/>
          </w:tcPr>
          <w:p/>
        </w:tc>
        <w:tc>
          <w:tcPr>
            <w:tcW w:type="dxa" w:w="1661"/>
          </w:tcPr>
          <w:p>
            <w:pPr>
              <w:pStyle w:val="null3"/>
            </w:pPr>
            <w:r>
              <w:rPr>
                <w:rFonts w:ascii="仿宋_GB2312" w:hAnsi="仿宋_GB2312" w:cs="仿宋_GB2312" w:eastAsia="仿宋_GB2312"/>
              </w:rPr>
              <w:t>产品技术参数2</w:t>
            </w:r>
          </w:p>
        </w:tc>
        <w:tc>
          <w:tcPr>
            <w:tcW w:type="dxa" w:w="2492"/>
          </w:tcPr>
          <w:p>
            <w:pPr>
              <w:pStyle w:val="null3"/>
            </w:pPr>
            <w:r>
              <w:rPr>
                <w:rFonts w:ascii="仿宋_GB2312" w:hAnsi="仿宋_GB2312" w:cs="仿宋_GB2312" w:eastAsia="仿宋_GB2312"/>
              </w:rPr>
              <w:t>“技术参数与性能指标”中除“★、▲”以外的参数共34项，投标人须在技术响应偏离表中如实填写并后附“针对响应内容真实性的承诺函”。投标人全部满足要求且提供承诺函的得17分，每有一项不满足（负偏离）的扣0.5分，扣完17分为止。未提供承诺函的本项不得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技术要求响应偏离表</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1、评审内容 包含3项：①供货进度安排；②人员配置及分工；③运输方案。 2、评审标准 （1）评审内容每项满分为2分，共6分； （2）评审内容每缺失一项扣2分，每项内容有下列任意一项瑕疵的扣0.2分（单项评审内容相同瑕疵不重复扣分），扣完为止；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投标方案--供货实施方案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1、评审内容 包含4项：①质量目标；②质量控制措施；③配送保障；④质量承诺。 2、评审标准 （1）评审内容每项满分为2分，共8分； （2）评审内容每缺失一项扣2分，每项内容有下列任意一项瑕疵的扣0.2分（单项评审内容相同瑕疵不重复扣分），扣完为止；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投标方案--质量保障</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 包含2项：①培训目标；②培训内容。 2、评审标准 （1）评审内容每项满分为2分，共4分； （2）评审内容每缺失一项扣2分，每项内容有下列任意一项瑕疵的扣0.2分（单项评审内容相同瑕疵不重复扣分），扣完为止；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投标方案--培训方案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1、评审内容 包含4项：①售后服务范围及内容；②售后服务人员配置；③售后响应时间；④定期回访维护。 2、评审标准 （1）评审内容每项满分为2分，共8分； （2）评审内容每缺失一项扣2分，每项内容有下列任意一项瑕疵的扣0.2分（单项评审内容相同瑕疵不重复扣分），扣完为止；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投标方案--售后服务</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提供2023年1月1日以来供应商类似业绩，每提供1份业绩得2分，最高得10分。 注：证明文件以合同为准，时间以合同签订时间为准；投标文件中附业绩证明文件复印件并加盖公章，未提供或不清晰导致无法识别的不予认可。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价格分采用低价优先法计算，即满足招标文件要求且价格最低的报价为评标基准价，其价格分为满分。其他投标人的价格分统一按照下列公式计算：报价得分=（评标基准价/报价）×价格权值×100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分项报价明细</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w:t>
      </w:r>
    </w:p>
    <w:p>
      <w:pPr>
        <w:pStyle w:val="null3"/>
        <w:ind w:firstLine="960"/>
      </w:pPr>
      <w:r>
        <w:rPr>
          <w:rFonts w:ascii="仿宋_GB2312" w:hAnsi="仿宋_GB2312" w:cs="仿宋_GB2312" w:eastAsia="仿宋_GB2312"/>
        </w:rPr>
        <w:t>详见附件：一般资格审查证明材料</w:t>
      </w:r>
    </w:p>
    <w:p>
      <w:pPr>
        <w:pStyle w:val="null3"/>
        <w:ind w:firstLine="960"/>
      </w:pPr>
      <w:r>
        <w:rPr>
          <w:rFonts w:ascii="仿宋_GB2312" w:hAnsi="仿宋_GB2312" w:cs="仿宋_GB2312" w:eastAsia="仿宋_GB2312"/>
        </w:rPr>
        <w:t>详见附件：特殊资格审查证明材料</w:t>
      </w:r>
    </w:p>
    <w:p>
      <w:pPr>
        <w:pStyle w:val="null3"/>
        <w:ind w:firstLine="960"/>
      </w:pPr>
      <w:r>
        <w:rPr>
          <w:rFonts w:ascii="仿宋_GB2312" w:hAnsi="仿宋_GB2312" w:cs="仿宋_GB2312" w:eastAsia="仿宋_GB2312"/>
        </w:rPr>
        <w:t>详见附件：技术要求响应偏离表</w:t>
      </w:r>
    </w:p>
    <w:p>
      <w:pPr>
        <w:pStyle w:val="null3"/>
        <w:ind w:firstLine="960"/>
      </w:pPr>
      <w:r>
        <w:rPr>
          <w:rFonts w:ascii="仿宋_GB2312" w:hAnsi="仿宋_GB2312" w:cs="仿宋_GB2312" w:eastAsia="仿宋_GB2312"/>
        </w:rPr>
        <w:t>详见附件：商务条款及其他要求响应偏离表</w:t>
      </w:r>
    </w:p>
    <w:p>
      <w:pPr>
        <w:pStyle w:val="null3"/>
        <w:ind w:firstLine="960"/>
      </w:pPr>
      <w:r>
        <w:rPr>
          <w:rFonts w:ascii="仿宋_GB2312" w:hAnsi="仿宋_GB2312" w:cs="仿宋_GB2312" w:eastAsia="仿宋_GB2312"/>
        </w:rPr>
        <w:t>详见附件：投标方案--产品来源</w:t>
      </w:r>
    </w:p>
    <w:p>
      <w:pPr>
        <w:pStyle w:val="null3"/>
        <w:ind w:firstLine="960"/>
      </w:pPr>
      <w:r>
        <w:rPr>
          <w:rFonts w:ascii="仿宋_GB2312" w:hAnsi="仿宋_GB2312" w:cs="仿宋_GB2312" w:eastAsia="仿宋_GB2312"/>
        </w:rPr>
        <w:t>详见附件：投标方案--产品技术参数1</w:t>
      </w:r>
    </w:p>
    <w:p>
      <w:pPr>
        <w:pStyle w:val="null3"/>
        <w:ind w:firstLine="960"/>
      </w:pPr>
      <w:r>
        <w:rPr>
          <w:rFonts w:ascii="仿宋_GB2312" w:hAnsi="仿宋_GB2312" w:cs="仿宋_GB2312" w:eastAsia="仿宋_GB2312"/>
        </w:rPr>
        <w:t>详见附件：投标方案--供货实施方案</w:t>
      </w:r>
    </w:p>
    <w:p>
      <w:pPr>
        <w:pStyle w:val="null3"/>
        <w:ind w:firstLine="960"/>
      </w:pPr>
      <w:r>
        <w:rPr>
          <w:rFonts w:ascii="仿宋_GB2312" w:hAnsi="仿宋_GB2312" w:cs="仿宋_GB2312" w:eastAsia="仿宋_GB2312"/>
        </w:rPr>
        <w:t>详见附件：投标方案--质量保障</w:t>
      </w:r>
    </w:p>
    <w:p>
      <w:pPr>
        <w:pStyle w:val="null3"/>
        <w:ind w:firstLine="960"/>
      </w:pPr>
      <w:r>
        <w:rPr>
          <w:rFonts w:ascii="仿宋_GB2312" w:hAnsi="仿宋_GB2312" w:cs="仿宋_GB2312" w:eastAsia="仿宋_GB2312"/>
        </w:rPr>
        <w:t>详见附件：投标方案--培训方案</w:t>
      </w:r>
    </w:p>
    <w:p>
      <w:pPr>
        <w:pStyle w:val="null3"/>
        <w:ind w:firstLine="960"/>
      </w:pPr>
      <w:r>
        <w:rPr>
          <w:rFonts w:ascii="仿宋_GB2312" w:hAnsi="仿宋_GB2312" w:cs="仿宋_GB2312" w:eastAsia="仿宋_GB2312"/>
        </w:rPr>
        <w:t>详见附件：投标方案--售后服务</w:t>
      </w:r>
    </w:p>
    <w:p>
      <w:pPr>
        <w:pStyle w:val="null3"/>
        <w:ind w:firstLine="960"/>
      </w:pPr>
      <w:r>
        <w:rPr>
          <w:rFonts w:ascii="仿宋_GB2312" w:hAnsi="仿宋_GB2312" w:cs="仿宋_GB2312" w:eastAsia="仿宋_GB2312"/>
        </w:rPr>
        <w:t>详见附件：类似项目业绩一览表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