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版本号：JZDCG-2026-01720260320001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紫荆公园内部分区域及紫荆阁平台苗木补植项目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JZDCG-2026-017</w:t>
      </w:r>
      <w:r>
        <w:br/>
      </w:r>
      <w:r>
        <w:br/>
      </w:r>
      <w:r>
        <w:br/>
      </w:r>
    </w:p>
    <w:p>
      <w:pPr>
        <w:pStyle w:val="null3"/>
        <w:jc w:val="center"/>
        <w:outlineLvl w:val="2"/>
      </w:pPr>
      <w:r>
        <w:rPr>
          <w:rFonts w:ascii="仿宋_GB2312" w:hAnsi="仿宋_GB2312" w:cs="仿宋_GB2312" w:eastAsia="仿宋_GB2312"/>
          <w:sz w:val="28"/>
          <w:b/>
        </w:rPr>
        <w:t>蒲城县城市管理执法局</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蒲城县城市管理执法局</w:t>
      </w:r>
      <w:r>
        <w:rPr>
          <w:rFonts w:ascii="仿宋_GB2312" w:hAnsi="仿宋_GB2312" w:cs="仿宋_GB2312" w:eastAsia="仿宋_GB2312"/>
        </w:rPr>
        <w:t>委托，拟对</w:t>
      </w:r>
      <w:r>
        <w:rPr>
          <w:rFonts w:ascii="仿宋_GB2312" w:hAnsi="仿宋_GB2312" w:cs="仿宋_GB2312" w:eastAsia="仿宋_GB2312"/>
        </w:rPr>
        <w:t>紫荆公园内部分区域及紫荆阁平台苗木补植项目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紫荆公园内部分区域及紫荆阁平台苗木补植项目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紫荆公园内部分区域及紫荆阁平台苗木补植项目，包含优质苗木采购、栽植，土壤改良、水肥管理、病虫害防治的同时在养护期1年内提供专业化、常态化养护服务，保障补植树木成活率与生长状态；旨在为紫荆公园、紫荆阁平台优化绿化景观品质，改善县城生态环境面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采购包1（紫荆公园内部分区域及紫荆阁平台苗木补植项目）：属于专门面向中小企业采购。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2025年09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3、税收缴纳证明：自2025年09月01日以来已缴存的至少一个月的纳税证明或完税证明，纳税证明或完税证明上应有代收机构或税务机关的公章或业务专用章。依法免税的投标人应提供相关文件证明；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6、无重大违法记录：参加政府采购活动前三年内在经营活动中没有重大违法记录的声明函；</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陕西省渭南市蒲城县长乐路与东环路十字向东50米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杜陕青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0913-7206926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毕云、王军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和国家发改委办公厅颁发的《关于招标代理服务收费有关问题的通知》（发改办价格【2003】857号）文件规定标准收取。 开户名称：陕西金准达项目管理有限责任公司 开户行名称：招商银行西安分行营业部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蒲城县城市管理执法局</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联系人：毕云、王军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紫荆公园内部分区域及紫荆阁平台苗木补植项目，包含优质苗木采购、栽植，土壤改良、水肥管理、病虫害防治的同时在养护期1年内提供专业化、常态化养护服务，保障补植树木成活率与生长状态；旨在为紫荆公园、紫荆阁平台优化绿化景观品质，改善县城生态环境面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紫荆公园内部分区域及紫荆阁平台苗木补植项目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标的名称：紫荆公园内部分区域及紫荆阁平台苗木补植项目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一、补植清单及技术要求</w:t>
            </w:r>
          </w:p>
          <w:p>
            <w:pPr>
              <w:pStyle w:val="null3"/>
            </w:pPr>
            <w:r>
              <w:rPr>
                <w:rFonts w:ascii="仿宋_GB2312" w:hAnsi="仿宋_GB2312" w:cs="仿宋_GB2312" w:eastAsia="仿宋_GB2312"/>
              </w:rPr>
              <w:t>1.1紫荆公园内补植清单</w:t>
            </w:r>
          </w:p>
          <w:tbl>
            <w:tblPr>
              <w:tblBorders>
                <w:top w:val="none" w:color="000000" w:sz="4"/>
                <w:left w:val="none" w:color="000000" w:sz="4"/>
                <w:bottom w:val="none" w:color="000000" w:sz="4"/>
                <w:right w:val="none" w:color="000000" w:sz="4"/>
                <w:insideH w:val="none"/>
                <w:insideV w:val="none"/>
              </w:tblBorders>
            </w:tblPr>
            <w:tblGrid>
              <w:gridCol w:w="209"/>
              <w:gridCol w:w="406"/>
              <w:gridCol w:w="513"/>
              <w:gridCol w:w="232"/>
              <w:gridCol w:w="249"/>
              <w:gridCol w:w="937"/>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品种</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规格要求</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技术标准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樱花树</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 xml:space="preserve"> 10 公分</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1.树形完整，主干通直，无病虫害</w:t>
                  </w:r>
                </w:p>
                <w:p>
                  <w:pPr>
                    <w:pStyle w:val="null3"/>
                    <w:jc w:val="both"/>
                  </w:pPr>
                  <w:r>
                    <w:rPr>
                      <w:rFonts w:ascii="仿宋_GB2312" w:hAnsi="仿宋_GB2312" w:cs="仿宋_GB2312" w:eastAsia="仿宋_GB2312"/>
                      <w:sz w:val="24"/>
                    </w:rPr>
                    <w:t>2. 冠幅饱满，分支均匀</w:t>
                  </w:r>
                </w:p>
                <w:p>
                  <w:pPr>
                    <w:pStyle w:val="null3"/>
                    <w:jc w:val="both"/>
                  </w:pPr>
                  <w:r>
                    <w:rPr>
                      <w:rFonts w:ascii="仿宋_GB2312" w:hAnsi="仿宋_GB2312" w:cs="仿宋_GB2312" w:eastAsia="仿宋_GB2312"/>
                      <w:sz w:val="24"/>
                    </w:rPr>
                    <w:t>3.土球直径不小于</w:t>
                  </w:r>
                  <w:r>
                    <w:rPr>
                      <w:rFonts w:ascii="仿宋_GB2312" w:hAnsi="仿宋_GB2312" w:cs="仿宋_GB2312" w:eastAsia="仿宋_GB2312"/>
                      <w:sz w:val="24"/>
                    </w:rPr>
                    <w:t>60</w:t>
                  </w:r>
                  <w:r>
                    <w:rPr>
                      <w:rFonts w:ascii="仿宋_GB2312" w:hAnsi="仿宋_GB2312" w:cs="仿宋_GB2312" w:eastAsia="仿宋_GB2312"/>
                      <w:sz w:val="24"/>
                    </w:rPr>
                    <w:t>公分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草花（孔雀草、波斯菊、金盏菊）</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混合种植</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1.花色鲜艳，株高均匀</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成活率不低于</w:t>
                  </w:r>
                  <w:r>
                    <w:rPr>
                      <w:rFonts w:ascii="仿宋_GB2312" w:hAnsi="仿宋_GB2312" w:cs="仿宋_GB2312" w:eastAsia="仿宋_GB2312"/>
                      <w:sz w:val="24"/>
                    </w:rPr>
                    <w:t>9</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3.提供后期养护</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玉兰</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 xml:space="preserve"> 5cm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1.树形优美，无损伤</w:t>
                  </w:r>
                </w:p>
                <w:p>
                  <w:pPr>
                    <w:pStyle w:val="null3"/>
                    <w:jc w:val="both"/>
                  </w:pPr>
                  <w:r>
                    <w:rPr>
                      <w:rFonts w:ascii="仿宋_GB2312" w:hAnsi="仿宋_GB2312" w:cs="仿宋_GB2312" w:eastAsia="仿宋_GB2312"/>
                      <w:sz w:val="24"/>
                    </w:rPr>
                    <w:t>2.土球完整，根系发达</w:t>
                  </w:r>
                </w:p>
                <w:p>
                  <w:pPr>
                    <w:pStyle w:val="null3"/>
                    <w:jc w:val="both"/>
                  </w:pPr>
                  <w:r>
                    <w:rPr>
                      <w:rFonts w:ascii="仿宋_GB2312" w:hAnsi="仿宋_GB2312" w:cs="仿宋_GB2312" w:eastAsia="仿宋_GB2312"/>
                      <w:sz w:val="24"/>
                    </w:rPr>
                    <w:t>3.移植后成活率保证</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丁香树</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 xml:space="preserve"> 8cm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1.花期正常，无病虫害</w:t>
                  </w:r>
                </w:p>
                <w:p>
                  <w:pPr>
                    <w:pStyle w:val="null3"/>
                    <w:jc w:val="both"/>
                  </w:pPr>
                  <w:r>
                    <w:rPr>
                      <w:rFonts w:ascii="仿宋_GB2312" w:hAnsi="仿宋_GB2312" w:cs="仿宋_GB2312" w:eastAsia="仿宋_GB2312"/>
                      <w:sz w:val="24"/>
                    </w:rPr>
                    <w:t>2.主干粗壮，分支合理</w:t>
                  </w:r>
                </w:p>
                <w:p>
                  <w:pPr>
                    <w:pStyle w:val="null3"/>
                    <w:jc w:val="both"/>
                  </w:pPr>
                  <w:r>
                    <w:rPr>
                      <w:rFonts w:ascii="仿宋_GB2312" w:hAnsi="仿宋_GB2312" w:cs="仿宋_GB2312" w:eastAsia="仿宋_GB2312"/>
                      <w:sz w:val="24"/>
                    </w:rPr>
                    <w:t>3.符合绿化工程苗木标准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白皮松</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高度</w:t>
                  </w:r>
                  <w:r>
                    <w:rPr>
                      <w:rFonts w:ascii="仿宋_GB2312" w:hAnsi="仿宋_GB2312" w:cs="仿宋_GB2312" w:eastAsia="仿宋_GB2312"/>
                      <w:sz w:val="24"/>
                    </w:rPr>
                    <w:t xml:space="preserve"> 2.6 米</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1.树形自然，针叶翠绿</w:t>
                  </w:r>
                </w:p>
                <w:p>
                  <w:pPr>
                    <w:pStyle w:val="null3"/>
                    <w:jc w:val="both"/>
                  </w:pPr>
                  <w:r>
                    <w:rPr>
                      <w:rFonts w:ascii="仿宋_GB2312" w:hAnsi="仿宋_GB2312" w:cs="仿宋_GB2312" w:eastAsia="仿宋_GB2312"/>
                      <w:sz w:val="24"/>
                    </w:rPr>
                    <w:t>2.无断枝、无病虫害</w:t>
                  </w:r>
                </w:p>
                <w:p>
                  <w:pPr>
                    <w:pStyle w:val="null3"/>
                    <w:jc w:val="both"/>
                  </w:pPr>
                  <w:r>
                    <w:rPr>
                      <w:rFonts w:ascii="仿宋_GB2312" w:hAnsi="仿宋_GB2312" w:cs="仿宋_GB2312" w:eastAsia="仿宋_GB2312"/>
                      <w:sz w:val="24"/>
                    </w:rPr>
                    <w:t>3.土球规格符合移植要求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丛生桂花树</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高度</w:t>
                  </w:r>
                  <w:r>
                    <w:rPr>
                      <w:rFonts w:ascii="仿宋_GB2312" w:hAnsi="仿宋_GB2312" w:cs="仿宋_GB2312" w:eastAsia="仿宋_GB2312"/>
                      <w:sz w:val="24"/>
                    </w:rPr>
                    <w:t xml:space="preserve"> 8</w:t>
                  </w:r>
                  <w:r>
                    <w:rPr>
                      <w:rFonts w:ascii="仿宋_GB2312" w:hAnsi="仿宋_GB2312" w:cs="仿宋_GB2312" w:eastAsia="仿宋_GB2312"/>
                      <w:sz w:val="24"/>
                    </w:rPr>
                    <w:t>0</w:t>
                  </w:r>
                  <w:r>
                    <w:rPr>
                      <w:rFonts w:ascii="仿宋_GB2312" w:hAnsi="仿宋_GB2312" w:cs="仿宋_GB2312" w:eastAsia="仿宋_GB2312"/>
                      <w:sz w:val="24"/>
                    </w:rPr>
                    <w:t>cm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1.丛生分支均匀，不少于3个主枝</w:t>
                  </w:r>
                </w:p>
                <w:p>
                  <w:pPr>
                    <w:pStyle w:val="null3"/>
                    <w:jc w:val="both"/>
                  </w:pPr>
                  <w:r>
                    <w:rPr>
                      <w:rFonts w:ascii="仿宋_GB2312" w:hAnsi="仿宋_GB2312" w:cs="仿宋_GB2312" w:eastAsia="仿宋_GB2312"/>
                      <w:sz w:val="24"/>
                    </w:rPr>
                    <w:t>2.叶片茂密，无黄叶</w:t>
                  </w:r>
                </w:p>
                <w:p>
                  <w:pPr>
                    <w:pStyle w:val="null3"/>
                    <w:jc w:val="both"/>
                  </w:pPr>
                  <w:r>
                    <w:rPr>
                      <w:rFonts w:ascii="仿宋_GB2312" w:hAnsi="仿宋_GB2312" w:cs="仿宋_GB2312" w:eastAsia="仿宋_GB2312"/>
                      <w:sz w:val="24"/>
                    </w:rPr>
                    <w:t>3.后期可正常开花</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红豆杉</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高度</w:t>
                  </w:r>
                  <w:r>
                    <w:rPr>
                      <w:rFonts w:ascii="仿宋_GB2312" w:hAnsi="仿宋_GB2312" w:cs="仿宋_GB2312" w:eastAsia="仿宋_GB2312"/>
                      <w:sz w:val="24"/>
                    </w:rPr>
                    <w:t xml:space="preserve"> 1.5m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1.树形端正，生长健壮</w:t>
                  </w:r>
                </w:p>
                <w:p>
                  <w:pPr>
                    <w:pStyle w:val="null3"/>
                    <w:jc w:val="both"/>
                  </w:pPr>
                  <w:r>
                    <w:rPr>
                      <w:rFonts w:ascii="仿宋_GB2312" w:hAnsi="仿宋_GB2312" w:cs="仿宋_GB2312" w:eastAsia="仿宋_GB2312"/>
                      <w:sz w:val="24"/>
                    </w:rPr>
                    <w:t>2.叶片鲜亮，无病虫害</w:t>
                  </w:r>
                </w:p>
                <w:p>
                  <w:pPr>
                    <w:pStyle w:val="null3"/>
                    <w:jc w:val="both"/>
                  </w:pPr>
                  <w:r>
                    <w:rPr>
                      <w:rFonts w:ascii="仿宋_GB2312" w:hAnsi="仿宋_GB2312" w:cs="仿宋_GB2312" w:eastAsia="仿宋_GB2312"/>
                      <w:sz w:val="24"/>
                    </w:rPr>
                    <w:t>3.符合珍稀苗木移植标准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山桃树</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 xml:space="preserve"> 5cm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1.主干通直，分支均匀</w:t>
                  </w:r>
                </w:p>
                <w:p>
                  <w:pPr>
                    <w:pStyle w:val="null3"/>
                    <w:jc w:val="both"/>
                  </w:pPr>
                  <w:r>
                    <w:rPr>
                      <w:rFonts w:ascii="仿宋_GB2312" w:hAnsi="仿宋_GB2312" w:cs="仿宋_GB2312" w:eastAsia="仿宋_GB2312"/>
                      <w:sz w:val="24"/>
                    </w:rPr>
                    <w:t>2.无病虫害，树皮完整</w:t>
                  </w:r>
                </w:p>
                <w:p>
                  <w:pPr>
                    <w:pStyle w:val="null3"/>
                    <w:jc w:val="both"/>
                  </w:pPr>
                  <w:r>
                    <w:rPr>
                      <w:rFonts w:ascii="仿宋_GB2312" w:hAnsi="仿宋_GB2312" w:cs="仿宋_GB2312" w:eastAsia="仿宋_GB2312"/>
                      <w:sz w:val="24"/>
                    </w:rPr>
                    <w:t>3.保证移植成活率</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茶花</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高度</w:t>
                  </w:r>
                  <w:r>
                    <w:rPr>
                      <w:rFonts w:ascii="仿宋_GB2312" w:hAnsi="仿宋_GB2312" w:cs="仿宋_GB2312" w:eastAsia="仿宋_GB2312"/>
                      <w:sz w:val="24"/>
                    </w:rPr>
                    <w:t xml:space="preserve"> 80cm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1.冠幅饱满，花苞正常</w:t>
                  </w:r>
                </w:p>
                <w:p>
                  <w:pPr>
                    <w:pStyle w:val="null3"/>
                    <w:jc w:val="both"/>
                  </w:pPr>
                  <w:r>
                    <w:rPr>
                      <w:rFonts w:ascii="仿宋_GB2312" w:hAnsi="仿宋_GB2312" w:cs="仿宋_GB2312" w:eastAsia="仿宋_GB2312"/>
                      <w:sz w:val="24"/>
                    </w:rPr>
                    <w:t>2.叶片翠绿，无病虫害</w:t>
                  </w:r>
                </w:p>
                <w:p>
                  <w:pPr>
                    <w:pStyle w:val="null3"/>
                    <w:jc w:val="both"/>
                  </w:pPr>
                  <w:r>
                    <w:rPr>
                      <w:rFonts w:ascii="仿宋_GB2312" w:hAnsi="仿宋_GB2312" w:cs="仿宋_GB2312" w:eastAsia="仿宋_GB2312"/>
                      <w:sz w:val="24"/>
                    </w:rPr>
                    <w:t>3.适应本地气候条件</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藤本月季</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二年生丛生</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枝条健壮，无病虫害</w:t>
                  </w:r>
                </w:p>
                <w:p>
                  <w:pPr>
                    <w:pStyle w:val="null3"/>
                    <w:jc w:val="both"/>
                  </w:pPr>
                  <w:r>
                    <w:rPr>
                      <w:rFonts w:ascii="仿宋_GB2312" w:hAnsi="仿宋_GB2312" w:cs="仿宋_GB2312" w:eastAsia="仿宋_GB2312"/>
                      <w:sz w:val="24"/>
                    </w:rPr>
                    <w:t>2.品种纯正，花色符合要求</w:t>
                  </w:r>
                </w:p>
                <w:p>
                  <w:pPr>
                    <w:pStyle w:val="null3"/>
                    <w:jc w:val="both"/>
                  </w:pPr>
                  <w:r>
                    <w:rPr>
                      <w:rFonts w:ascii="仿宋_GB2312" w:hAnsi="仿宋_GB2312" w:cs="仿宋_GB2312" w:eastAsia="仿宋_GB2312"/>
                      <w:sz w:val="24"/>
                    </w:rPr>
                    <w:t>3.后期可正常开花</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黄栌</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6-8</w:t>
                  </w:r>
                  <w:r>
                    <w:rPr>
                      <w:rFonts w:ascii="仿宋_GB2312" w:hAnsi="仿宋_GB2312" w:cs="仿宋_GB2312" w:eastAsia="仿宋_GB2312"/>
                      <w:sz w:val="24"/>
                    </w:rPr>
                    <w:t>cm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树形优美，秋季叶色正常</w:t>
                  </w:r>
                </w:p>
                <w:p>
                  <w:pPr>
                    <w:pStyle w:val="null3"/>
                    <w:jc w:val="both"/>
                  </w:pPr>
                  <w:r>
                    <w:rPr>
                      <w:rFonts w:ascii="仿宋_GB2312" w:hAnsi="仿宋_GB2312" w:cs="仿宋_GB2312" w:eastAsia="仿宋_GB2312"/>
                      <w:sz w:val="24"/>
                    </w:rPr>
                    <w:t>2.无病虫害，生长健壮</w:t>
                  </w:r>
                </w:p>
                <w:p>
                  <w:pPr>
                    <w:pStyle w:val="null3"/>
                    <w:jc w:val="both"/>
                  </w:pPr>
                  <w:r>
                    <w:rPr>
                      <w:rFonts w:ascii="仿宋_GB2312" w:hAnsi="仿宋_GB2312" w:cs="仿宋_GB2312" w:eastAsia="仿宋_GB2312"/>
                      <w:sz w:val="24"/>
                    </w:rPr>
                    <w:t>3.土球规格达标</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红叶李</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6-8</w:t>
                  </w:r>
                  <w:r>
                    <w:rPr>
                      <w:rFonts w:ascii="仿宋_GB2312" w:hAnsi="仿宋_GB2312" w:cs="仿宋_GB2312" w:eastAsia="仿宋_GB2312"/>
                      <w:sz w:val="24"/>
                    </w:rPr>
                    <w:t>cm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1.叶色鲜红，树形美观</w:t>
                  </w:r>
                </w:p>
                <w:p>
                  <w:pPr>
                    <w:pStyle w:val="null3"/>
                    <w:jc w:val="both"/>
                  </w:pPr>
                  <w:r>
                    <w:rPr>
                      <w:rFonts w:ascii="仿宋_GB2312" w:hAnsi="仿宋_GB2312" w:cs="仿宋_GB2312" w:eastAsia="仿宋_GB2312"/>
                      <w:sz w:val="24"/>
                    </w:rPr>
                    <w:t>2.无病虫害，无机械损伤</w:t>
                  </w:r>
                </w:p>
                <w:p>
                  <w:pPr>
                    <w:pStyle w:val="null3"/>
                    <w:jc w:val="both"/>
                  </w:pPr>
                  <w:r>
                    <w:rPr>
                      <w:rFonts w:ascii="仿宋_GB2312" w:hAnsi="仿宋_GB2312" w:cs="仿宋_GB2312" w:eastAsia="仿宋_GB2312"/>
                      <w:sz w:val="24"/>
                    </w:rPr>
                    <w:t>3.移植成活率保证</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白蜡</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6-8</w:t>
                  </w:r>
                  <w:r>
                    <w:rPr>
                      <w:rFonts w:ascii="仿宋_GB2312" w:hAnsi="仿宋_GB2312" w:cs="仿宋_GB2312" w:eastAsia="仿宋_GB2312"/>
                      <w:sz w:val="24"/>
                    </w:rPr>
                    <w:t>cm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1.主干通直，分支均匀</w:t>
                  </w:r>
                </w:p>
                <w:p>
                  <w:pPr>
                    <w:pStyle w:val="null3"/>
                    <w:jc w:val="both"/>
                  </w:pPr>
                  <w:r>
                    <w:rPr>
                      <w:rFonts w:ascii="仿宋_GB2312" w:hAnsi="仿宋_GB2312" w:cs="仿宋_GB2312" w:eastAsia="仿宋_GB2312"/>
                      <w:sz w:val="24"/>
                    </w:rPr>
                    <w:t>2.无病虫害，树皮完整</w:t>
                  </w:r>
                </w:p>
                <w:p>
                  <w:pPr>
                    <w:pStyle w:val="null3"/>
                    <w:jc w:val="both"/>
                  </w:pPr>
                  <w:r>
                    <w:rPr>
                      <w:rFonts w:ascii="仿宋_GB2312" w:hAnsi="仿宋_GB2312" w:cs="仿宋_GB2312" w:eastAsia="仿宋_GB2312"/>
                      <w:sz w:val="24"/>
                    </w:rPr>
                    <w:t>3.符合绿化工程标准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金叶</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高度</w:t>
                  </w:r>
                  <w:r>
                    <w:rPr>
                      <w:rFonts w:ascii="仿宋_GB2312" w:hAnsi="仿宋_GB2312" w:cs="仿宋_GB2312" w:eastAsia="仿宋_GB2312"/>
                      <w:sz w:val="24"/>
                    </w:rPr>
                    <w:t xml:space="preserve"> 35 公分，49 株 /㎡</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20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1.株高均匀，叶色金黄</w:t>
                  </w:r>
                </w:p>
                <w:p>
                  <w:pPr>
                    <w:pStyle w:val="null3"/>
                    <w:jc w:val="both"/>
                  </w:pPr>
                  <w:r>
                    <w:rPr>
                      <w:rFonts w:ascii="仿宋_GB2312" w:hAnsi="仿宋_GB2312" w:cs="仿宋_GB2312" w:eastAsia="仿宋_GB2312"/>
                      <w:sz w:val="24"/>
                    </w:rPr>
                    <w:t>2.密度符合要求</w:t>
                  </w:r>
                  <w:r>
                    <w:rPr>
                      <w:rFonts w:ascii="仿宋_GB2312" w:hAnsi="仿宋_GB2312" w:cs="仿宋_GB2312" w:eastAsia="仿宋_GB2312"/>
                      <w:sz w:val="24"/>
                    </w:rPr>
                    <w:t>，</w:t>
                  </w:r>
                  <w:r>
                    <w:rPr>
                      <w:rFonts w:ascii="仿宋_GB2312" w:hAnsi="仿宋_GB2312" w:cs="仿宋_GB2312" w:eastAsia="仿宋_GB2312"/>
                      <w:sz w:val="24"/>
                    </w:rPr>
                    <w:t>无空缺</w:t>
                  </w:r>
                </w:p>
                <w:p>
                  <w:pPr>
                    <w:pStyle w:val="null3"/>
                    <w:jc w:val="both"/>
                  </w:pPr>
                  <w:r>
                    <w:rPr>
                      <w:rFonts w:ascii="仿宋_GB2312" w:hAnsi="仿宋_GB2312" w:cs="仿宋_GB2312" w:eastAsia="仿宋_GB2312"/>
                      <w:sz w:val="24"/>
                    </w:rPr>
                    <w:t>3.成活率不低于 95%</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种植土回填</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黄土、松填</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1.土壤肥沃，无杂质</w:t>
                  </w:r>
                </w:p>
                <w:p>
                  <w:pPr>
                    <w:pStyle w:val="null3"/>
                    <w:jc w:val="both"/>
                  </w:pPr>
                  <w:r>
                    <w:rPr>
                      <w:rFonts w:ascii="仿宋_GB2312" w:hAnsi="仿宋_GB2312" w:cs="仿宋_GB2312" w:eastAsia="仿宋_GB2312"/>
                      <w:sz w:val="24"/>
                    </w:rPr>
                    <w:t>2.符合绿化种植土标准</w:t>
                  </w:r>
                </w:p>
                <w:p>
                  <w:pPr>
                    <w:pStyle w:val="null3"/>
                    <w:jc w:val="both"/>
                  </w:pPr>
                  <w:r>
                    <w:rPr>
                      <w:rFonts w:ascii="仿宋_GB2312" w:hAnsi="仿宋_GB2312" w:cs="仿宋_GB2312" w:eastAsia="仿宋_GB2312"/>
                      <w:sz w:val="24"/>
                    </w:rPr>
                    <w:t>3.松填密实度适中</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垃圾清运</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1.及时清运施工垃圾</w:t>
                  </w:r>
                </w:p>
                <w:p>
                  <w:pPr>
                    <w:pStyle w:val="null3"/>
                    <w:jc w:val="both"/>
                  </w:pPr>
                  <w:r>
                    <w:rPr>
                      <w:rFonts w:ascii="仿宋_GB2312" w:hAnsi="仿宋_GB2312" w:cs="仿宋_GB2312" w:eastAsia="仿宋_GB2312"/>
                      <w:sz w:val="24"/>
                    </w:rPr>
                    <w:t>2.按环保要求处置</w:t>
                  </w:r>
                </w:p>
                <w:p>
                  <w:pPr>
                    <w:pStyle w:val="null3"/>
                    <w:jc w:val="both"/>
                  </w:pPr>
                  <w:r>
                    <w:rPr>
                      <w:rFonts w:ascii="仿宋_GB2312" w:hAnsi="仿宋_GB2312" w:cs="仿宋_GB2312" w:eastAsia="仿宋_GB2312"/>
                      <w:sz w:val="24"/>
                    </w:rPr>
                    <w:t>3.保证施工现场整洁</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整理绿化地</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土</w:t>
                  </w:r>
                  <w:r>
                    <w:rPr>
                      <w:rFonts w:ascii="仿宋_GB2312" w:hAnsi="仿宋_GB2312" w:cs="仿宋_GB2312" w:eastAsia="仿宋_GB2312"/>
                      <w:sz w:val="24"/>
                    </w:rPr>
                    <w:t xml:space="preserve"> 30 公分以内简单清理</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7065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1.清除杂草、碎石</w:t>
                  </w:r>
                </w:p>
                <w:p>
                  <w:pPr>
                    <w:pStyle w:val="null3"/>
                    <w:jc w:val="both"/>
                  </w:pPr>
                  <w:r>
                    <w:rPr>
                      <w:rFonts w:ascii="仿宋_GB2312" w:hAnsi="仿宋_GB2312" w:cs="仿宋_GB2312" w:eastAsia="仿宋_GB2312"/>
                      <w:sz w:val="24"/>
                    </w:rPr>
                    <w:t>2.土地平整，坡度合理</w:t>
                  </w:r>
                </w:p>
                <w:p>
                  <w:pPr>
                    <w:pStyle w:val="null3"/>
                    <w:jc w:val="both"/>
                  </w:pPr>
                  <w:r>
                    <w:rPr>
                      <w:rFonts w:ascii="仿宋_GB2312" w:hAnsi="仿宋_GB2312" w:cs="仿宋_GB2312" w:eastAsia="仿宋_GB2312"/>
                      <w:sz w:val="24"/>
                    </w:rPr>
                    <w:t>3.为种植做好准备</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1.2紫荆阁平台补植清单</w:t>
            </w:r>
          </w:p>
          <w:tbl>
            <w:tblPr>
              <w:tblInd w:type="dxa" w:w="135"/>
              <w:tblBorders>
                <w:top w:val="none" w:color="000000" w:sz="4"/>
                <w:left w:val="none" w:color="000000" w:sz="4"/>
                <w:bottom w:val="none" w:color="000000" w:sz="4"/>
                <w:right w:val="none" w:color="000000" w:sz="4"/>
                <w:insideH w:val="none"/>
                <w:insideV w:val="none"/>
              </w:tblBorders>
            </w:tblPr>
            <w:tblGrid>
              <w:gridCol w:w="209"/>
              <w:gridCol w:w="406"/>
              <w:gridCol w:w="513"/>
              <w:gridCol w:w="232"/>
              <w:gridCol w:w="249"/>
              <w:gridCol w:w="937"/>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品种</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规格要求</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技术标准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金叶榆造型</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6</w:t>
                  </w:r>
                  <w:r>
                    <w:rPr>
                      <w:rFonts w:ascii="仿宋_GB2312" w:hAnsi="仿宋_GB2312" w:cs="仿宋_GB2312" w:eastAsia="仿宋_GB2312"/>
                      <w:sz w:val="24"/>
                    </w:rPr>
                    <w:t>cm，高 2.5m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造型美观，符合设计要求</w:t>
                  </w:r>
                  <w:r>
                    <w:rPr>
                      <w:rFonts w:ascii="仿宋_GB2312" w:hAnsi="仿宋_GB2312" w:cs="仿宋_GB2312" w:eastAsia="仿宋_GB2312"/>
                      <w:sz w:val="24"/>
                    </w:rPr>
                    <w:t>2.枝条健壮，叶色金黄</w:t>
                  </w:r>
                </w:p>
                <w:p>
                  <w:pPr>
                    <w:pStyle w:val="null3"/>
                    <w:jc w:val="both"/>
                  </w:pPr>
                  <w:r>
                    <w:rPr>
                      <w:rFonts w:ascii="仿宋_GB2312" w:hAnsi="仿宋_GB2312" w:cs="仿宋_GB2312" w:eastAsia="仿宋_GB2312"/>
                      <w:sz w:val="24"/>
                    </w:rPr>
                    <w:t>3.无病虫害，生长良好</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小叶女贞造型</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 xml:space="preserve"> 5</w:t>
                  </w:r>
                  <w:r>
                    <w:rPr>
                      <w:rFonts w:ascii="仿宋_GB2312" w:hAnsi="仿宋_GB2312" w:cs="仿宋_GB2312" w:eastAsia="仿宋_GB2312"/>
                      <w:sz w:val="24"/>
                    </w:rPr>
                    <w:t>cm，高 2m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造型完整，层次分明</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叶片茂密，无黄叶</w:t>
                  </w:r>
                </w:p>
                <w:p>
                  <w:pPr>
                    <w:pStyle w:val="null3"/>
                    <w:jc w:val="both"/>
                  </w:pPr>
                  <w:r>
                    <w:rPr>
                      <w:rFonts w:ascii="仿宋_GB2312" w:hAnsi="仿宋_GB2312" w:cs="仿宋_GB2312" w:eastAsia="仿宋_GB2312"/>
                      <w:sz w:val="24"/>
                    </w:rPr>
                    <w:t>3.后期易养护</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丛生茶条槭</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胸径</w:t>
                  </w:r>
                  <w:r>
                    <w:rPr>
                      <w:rFonts w:ascii="仿宋_GB2312" w:hAnsi="仿宋_GB2312" w:cs="仿宋_GB2312" w:eastAsia="仿宋_GB2312"/>
                      <w:sz w:val="24"/>
                    </w:rPr>
                    <w:t xml:space="preserve"> 2</w:t>
                  </w:r>
                  <w:r>
                    <w:rPr>
                      <w:rFonts w:ascii="仿宋_GB2312" w:hAnsi="仿宋_GB2312" w:cs="仿宋_GB2312" w:eastAsia="仿宋_GB2312"/>
                      <w:sz w:val="24"/>
                    </w:rPr>
                    <w:t>cm，高 2.9m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棵</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1.丛生分支均匀，生长健壮2.无病虫害，树形优美</w:t>
                  </w:r>
                </w:p>
                <w:p>
                  <w:pPr>
                    <w:pStyle w:val="null3"/>
                    <w:jc w:val="both"/>
                  </w:pPr>
                  <w:r>
                    <w:rPr>
                      <w:rFonts w:ascii="仿宋_GB2312" w:hAnsi="仿宋_GB2312" w:cs="仿宋_GB2312" w:eastAsia="仿宋_GB2312"/>
                      <w:sz w:val="24"/>
                    </w:rPr>
                    <w:t>3.适应平台生长环境</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红叶小檗</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 株 /㎡</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株高均匀，叶色鲜红</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密度达标，无空缺</w:t>
                  </w:r>
                </w:p>
                <w:p>
                  <w:pPr>
                    <w:pStyle w:val="null3"/>
                    <w:jc w:val="both"/>
                  </w:pPr>
                  <w:r>
                    <w:rPr>
                      <w:rFonts w:ascii="仿宋_GB2312" w:hAnsi="仿宋_GB2312" w:cs="仿宋_GB2312" w:eastAsia="仿宋_GB2312"/>
                      <w:sz w:val="24"/>
                    </w:rPr>
                    <w:t>3.成活率不低于</w:t>
                  </w:r>
                  <w:r>
                    <w:rPr>
                      <w:rFonts w:ascii="仿宋_GB2312" w:hAnsi="仿宋_GB2312" w:cs="仿宋_GB2312" w:eastAsia="仿宋_GB2312"/>
                      <w:sz w:val="24"/>
                    </w:rPr>
                    <w:t>98</w:t>
                  </w:r>
                  <w:r>
                    <w:rPr>
                      <w:rFonts w:ascii="仿宋_GB2312" w:hAnsi="仿宋_GB2312" w:cs="仿宋_GB2312" w:eastAsia="仿宋_GB2312"/>
                      <w:sz w:val="24"/>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红叶石楠苗</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 株 /㎡</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1.幼苗健壮，叶色鲜亮</w:t>
                  </w:r>
                </w:p>
                <w:p>
                  <w:pPr>
                    <w:pStyle w:val="null3"/>
                    <w:jc w:val="both"/>
                  </w:pPr>
                  <w:r>
                    <w:rPr>
                      <w:rFonts w:ascii="仿宋_GB2312" w:hAnsi="仿宋_GB2312" w:cs="仿宋_GB2312" w:eastAsia="仿宋_GB2312"/>
                      <w:sz w:val="24"/>
                    </w:rPr>
                    <w:t>2.无病虫害，生长旺盛</w:t>
                  </w:r>
                </w:p>
                <w:p>
                  <w:pPr>
                    <w:pStyle w:val="null3"/>
                    <w:jc w:val="both"/>
                  </w:pPr>
                  <w:r>
                    <w:rPr>
                      <w:rFonts w:ascii="仿宋_GB2312" w:hAnsi="仿宋_GB2312" w:cs="仿宋_GB2312" w:eastAsia="仿宋_GB2312"/>
                      <w:sz w:val="24"/>
                    </w:rPr>
                    <w:t>3.符合育苗标准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金森</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 株 /㎡</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株型整齐，叶色金黄</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密度符合要求</w:t>
                  </w:r>
                </w:p>
                <w:p>
                  <w:pPr>
                    <w:pStyle w:val="null3"/>
                    <w:jc w:val="both"/>
                  </w:pPr>
                  <w:r>
                    <w:rPr>
                      <w:rFonts w:ascii="仿宋_GB2312" w:hAnsi="仿宋_GB2312" w:cs="仿宋_GB2312" w:eastAsia="仿宋_GB2312"/>
                      <w:sz w:val="24"/>
                    </w:rPr>
                    <w:t>3.适应本地气候</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海桐</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 株 /㎡</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1.叶片翠绿，无病虫害</w:t>
                  </w:r>
                </w:p>
                <w:p>
                  <w:pPr>
                    <w:pStyle w:val="null3"/>
                    <w:jc w:val="both"/>
                  </w:pPr>
                  <w:r>
                    <w:rPr>
                      <w:rFonts w:ascii="仿宋_GB2312" w:hAnsi="仿宋_GB2312" w:cs="仿宋_GB2312" w:eastAsia="仿宋_GB2312"/>
                      <w:sz w:val="24"/>
                    </w:rPr>
                    <w:t>2.株高均匀，生长健壮</w:t>
                  </w:r>
                </w:p>
                <w:p>
                  <w:pPr>
                    <w:pStyle w:val="null3"/>
                    <w:jc w:val="both"/>
                  </w:pPr>
                  <w:r>
                    <w:rPr>
                      <w:rFonts w:ascii="仿宋_GB2312" w:hAnsi="仿宋_GB2312" w:cs="仿宋_GB2312" w:eastAsia="仿宋_GB2312"/>
                      <w:sz w:val="24"/>
                    </w:rPr>
                    <w:t>3.后期易管理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酌浆草</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 株 /㎡</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1.花色鲜艳，生长旺盛</w:t>
                  </w:r>
                </w:p>
                <w:p>
                  <w:pPr>
                    <w:pStyle w:val="null3"/>
                    <w:jc w:val="both"/>
                  </w:pPr>
                  <w:r>
                    <w:rPr>
                      <w:rFonts w:ascii="仿宋_GB2312" w:hAnsi="仿宋_GB2312" w:cs="仿宋_GB2312" w:eastAsia="仿宋_GB2312"/>
                      <w:sz w:val="24"/>
                    </w:rPr>
                    <w:t>2.密度达标，无空缺</w:t>
                  </w:r>
                </w:p>
                <w:p>
                  <w:pPr>
                    <w:pStyle w:val="null3"/>
                    <w:jc w:val="both"/>
                  </w:pPr>
                  <w:r>
                    <w:rPr>
                      <w:rFonts w:ascii="仿宋_GB2312" w:hAnsi="仿宋_GB2312" w:cs="仿宋_GB2312" w:eastAsia="仿宋_GB2312"/>
                      <w:sz w:val="24"/>
                    </w:rPr>
                    <w:t>3.成活率保证</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草坪</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百慕大</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400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1.草种纯正，色泽均匀</w:t>
                  </w:r>
                </w:p>
                <w:p>
                  <w:pPr>
                    <w:pStyle w:val="null3"/>
                    <w:jc w:val="both"/>
                  </w:pPr>
                  <w:r>
                    <w:rPr>
                      <w:rFonts w:ascii="仿宋_GB2312" w:hAnsi="仿宋_GB2312" w:cs="仿宋_GB2312" w:eastAsia="仿宋_GB2312"/>
                      <w:sz w:val="24"/>
                    </w:rPr>
                    <w:t>2.无杂草，覆盖率不低于98%</w:t>
                  </w:r>
                </w:p>
                <w:p>
                  <w:pPr>
                    <w:pStyle w:val="null3"/>
                    <w:jc w:val="both"/>
                  </w:pPr>
                  <w:r>
                    <w:rPr>
                      <w:rFonts w:ascii="仿宋_GB2312" w:hAnsi="仿宋_GB2312" w:cs="仿宋_GB2312" w:eastAsia="仿宋_GB2312"/>
                      <w:sz w:val="24"/>
                    </w:rPr>
                    <w:t>3.后期提供养护指导</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种植土回填</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黄土、松填</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m³</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1.土壤质量达标，无杂质</w:t>
                  </w:r>
                </w:p>
                <w:p>
                  <w:pPr>
                    <w:pStyle w:val="null3"/>
                    <w:jc w:val="both"/>
                  </w:pPr>
                  <w:r>
                    <w:rPr>
                      <w:rFonts w:ascii="仿宋_GB2312" w:hAnsi="仿宋_GB2312" w:cs="仿宋_GB2312" w:eastAsia="仿宋_GB2312"/>
                      <w:sz w:val="24"/>
                    </w:rPr>
                    <w:t>2.松填规范，符合种植要求3.适应平台荷载要求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垃圾清运</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m³</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1.及时清运，无残留</w:t>
                  </w:r>
                </w:p>
                <w:p>
                  <w:pPr>
                    <w:pStyle w:val="null3"/>
                    <w:jc w:val="both"/>
                  </w:pPr>
                  <w:r>
                    <w:rPr>
                      <w:rFonts w:ascii="仿宋_GB2312" w:hAnsi="仿宋_GB2312" w:cs="仿宋_GB2312" w:eastAsia="仿宋_GB2312"/>
                      <w:sz w:val="24"/>
                    </w:rPr>
                    <w:t>2.环保处置，符合规定</w:t>
                  </w:r>
                </w:p>
                <w:p>
                  <w:pPr>
                    <w:pStyle w:val="null3"/>
                    <w:jc w:val="both"/>
                  </w:pPr>
                  <w:r>
                    <w:rPr>
                      <w:rFonts w:ascii="仿宋_GB2312" w:hAnsi="仿宋_GB2312" w:cs="仿宋_GB2312" w:eastAsia="仿宋_GB2312"/>
                      <w:sz w:val="24"/>
                    </w:rPr>
                    <w:t>3.保持平台整洁</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整理绿化地</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土</w:t>
                  </w:r>
                  <w:r>
                    <w:rPr>
                      <w:rFonts w:ascii="仿宋_GB2312" w:hAnsi="仿宋_GB2312" w:cs="仿宋_GB2312" w:eastAsia="仿宋_GB2312"/>
                      <w:sz w:val="24"/>
                    </w:rPr>
                    <w:t xml:space="preserve"> 30 公分以内简单清理</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1800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1.土地平整，无碎石杂草</w:t>
                  </w:r>
                </w:p>
                <w:p>
                  <w:pPr>
                    <w:pStyle w:val="null3"/>
                    <w:jc w:val="both"/>
                  </w:pPr>
                  <w:r>
                    <w:rPr>
                      <w:rFonts w:ascii="仿宋_GB2312" w:hAnsi="仿宋_GB2312" w:cs="仿宋_GB2312" w:eastAsia="仿宋_GB2312"/>
                      <w:sz w:val="24"/>
                    </w:rPr>
                    <w:t>2.坡度合理，利于排水</w:t>
                  </w:r>
                </w:p>
                <w:p>
                  <w:pPr>
                    <w:pStyle w:val="null3"/>
                    <w:jc w:val="both"/>
                  </w:pPr>
                  <w:r>
                    <w:rPr>
                      <w:rFonts w:ascii="仿宋_GB2312" w:hAnsi="仿宋_GB2312" w:cs="仿宋_GB2312" w:eastAsia="仿宋_GB2312"/>
                      <w:sz w:val="24"/>
                    </w:rPr>
                    <w:t>3.满足种植条件</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二、需执行的国家相关标准、地方标准、行业标准或者其他标准、规范标准</w:t>
            </w:r>
          </w:p>
          <w:p>
            <w:pPr>
              <w:pStyle w:val="null3"/>
            </w:pPr>
            <w:r>
              <w:rPr>
                <w:rFonts w:ascii="仿宋_GB2312" w:hAnsi="仿宋_GB2312" w:cs="仿宋_GB2312" w:eastAsia="仿宋_GB2312"/>
              </w:rPr>
              <w:t>遵循《园林绿化养护标准》（CJJ/T  287-2018)及蒲城县城市绿化管理相关规定。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根据磋商文件要求，人员需满足项目实施。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根据磋商文件要求，设施设备需满足项目实施。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(1)本项目采用总价包干方式，包含苗木采购、运输、装卸、种植、后期养护等所有费用。 (2)养护期内苗木出现死亡，供应商免费补种。 (3)供应商需遵守园林现场管理规定，做好安全防护措施，避免安全事故。 (4)服务过程中需保护周边环境，减少对现有绿化的破坏。 (5)若采购需求中的规格或数量需要调整，双方友好协商，签订补充协议，具体苗木数量以进场数量核算。 (6)应急响应:接到采购人通知后，2小时内响应，4小时内到达现场处理。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栽植期自合同签订之日起30日完成，养护期自栽植完成后1年。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(1)实施单位自查:完成自查工作，出具自查报告;对存在的问题及时进行补充完善。 (2)检查验收:采购方组织有关专家和技术人员，按照项目要求和实施方案进行验收。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合同签订后，供应方向采购方开具增值税发票，采购方收到发票后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养护期满验收合格后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09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自2025年09月01日以来已缴存的至少一个月的纳税证明或完税证明，纳税证明或完税证明上应有代收机构或税务机关的公章或业务专用章。依法免税的投标人应提供相关文件证明；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磋商小组认为供应商的报价明显低于其他实质性响应的供应商报价，有可能影响服务质量或者不能诚信履约的，按照《关于推动解决政府采购异常低价问题的通知》财库〔2026〕2号文件的要求，可启动政府采购异常低价审查，具体要求如下：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符合磋商文件中“响应文件格式”要求</w:t>
            </w:r>
          </w:p>
        </w:tc>
        <w:tc>
          <w:tcPr>
            <w:tcW w:type="dxa" w:w="1661"/>
          </w:tcPr>
          <w:p>
            <w:pPr>
              <w:pStyle w:val="null3"/>
            </w:pPr>
            <w:r>
              <w:rPr>
                <w:rFonts w:ascii="仿宋_GB2312" w:hAnsi="仿宋_GB2312" w:cs="仿宋_GB2312" w:eastAsia="仿宋_GB2312"/>
              </w:rPr>
              <w:t>中小企业声明函 报价表 特殊资格审查证明材料 响应文件封面 残疾人福利性单位声明函 一般资格审查证明材料 服务方案 标的清单 供应商类似项目业绩一览表 响应函 服务内容及服务要求响应偏离表 监狱企业的证明文件 商务及其他要求响应偏离表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中小企业声明函 报价表 特殊资格审查证明材料 响应文件封面 残疾人福利性单位声明函 一般资格审查证明材料 服务方案 标的清单 供应商类似项目业绩一览表 响应函 服务内容及服务要求响应偏离表 监狱企业的证明文件 商务及其他要求响应偏离表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最终只能有一个有效报价，且不能超过本项目采购预算（最高限价）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中小企业声明函 一般资格审查证明材料 服务方案 标的清单 报价表 供应商类似项目业绩一览表 响应函 特殊资格审查证明材料 服务内容及服务要求响应偏离表 商务及其他要求响应偏离表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一般资格审查证明材料 服务方案 标的清单 报价表 供应商类似项目业绩一览表 响应函 特殊资格审查证明材料 服务内容及服务要求响应偏离表 商务及其他要求响应偏离表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苗木补植方案及技术措施</w:t>
            </w:r>
          </w:p>
        </w:tc>
        <w:tc>
          <w:tcPr>
            <w:tcW w:type="dxa" w:w="2492"/>
          </w:tcPr>
          <w:p>
            <w:pPr>
              <w:pStyle w:val="null3"/>
            </w:pPr>
            <w:r>
              <w:rPr>
                <w:rFonts w:ascii="仿宋_GB2312" w:hAnsi="仿宋_GB2312" w:cs="仿宋_GB2312" w:eastAsia="仿宋_GB2312"/>
              </w:rPr>
              <w:t>1、评审内容 包含4项：①补植整体计划及流程、②补植内容及技术组织措施、③现场原有苗木保护措施、④补植质量保障措施。 2、评审标准 （1）评审内容每项满分为4分，共16分； （2）评审内容每缺失一项扣4分，每项内容有下列任意一项瑕疵的扣0.4分（单项评审内容相同瑕疵不重复扣分），扣完为止；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苗木供应保障方案</w:t>
            </w:r>
          </w:p>
        </w:tc>
        <w:tc>
          <w:tcPr>
            <w:tcW w:type="dxa" w:w="2492"/>
          </w:tcPr>
          <w:p>
            <w:pPr>
              <w:pStyle w:val="null3"/>
            </w:pPr>
            <w:r>
              <w:rPr>
                <w:rFonts w:ascii="仿宋_GB2312" w:hAnsi="仿宋_GB2312" w:cs="仿宋_GB2312" w:eastAsia="仿宋_GB2312"/>
              </w:rPr>
              <w:t>1、评审内容 包含3项：①苗木采购标准及质量把控、②运输、装卸、存储过程中保护措施、③保证苗木充足供应的组织方案。 2、评审标准 （1）评审内容每项满分为4分，共12分； （2）评审内容每缺失一项扣4分，每项内容有下列任意一项瑕疵的扣0.4分（单项评审内容相同瑕疵不重复扣分），扣完为止；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养护方案</w:t>
            </w:r>
          </w:p>
        </w:tc>
        <w:tc>
          <w:tcPr>
            <w:tcW w:type="dxa" w:w="2492"/>
          </w:tcPr>
          <w:p>
            <w:pPr>
              <w:pStyle w:val="null3"/>
            </w:pPr>
            <w:r>
              <w:rPr>
                <w:rFonts w:ascii="仿宋_GB2312" w:hAnsi="仿宋_GB2312" w:cs="仿宋_GB2312" w:eastAsia="仿宋_GB2312"/>
              </w:rPr>
              <w:t>1、评审内容 包含4项：①养护目标及整体计划、②养护内容及流程、③养护过程中可能出现的特殊情况及技术处置措施（特殊情况例如：严重病虫害、极旱极寒天气、长期阴雨季节等）、④养护质量保障措施。 2、评审标准 （1）评审内容每项满分为4分，共16分； （2）评审内容每缺失一项扣4分，每项内容有下列任意一项瑕疵的扣0.4分（单项评审内容相同瑕疵不重复扣分），扣完为止；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安全及文明施工组织方案</w:t>
            </w:r>
          </w:p>
        </w:tc>
        <w:tc>
          <w:tcPr>
            <w:tcW w:type="dxa" w:w="2492"/>
          </w:tcPr>
          <w:p>
            <w:pPr>
              <w:pStyle w:val="null3"/>
            </w:pPr>
            <w:r>
              <w:rPr>
                <w:rFonts w:ascii="仿宋_GB2312" w:hAnsi="仿宋_GB2312" w:cs="仿宋_GB2312" w:eastAsia="仿宋_GB2312"/>
              </w:rPr>
              <w:t>1、评审内容 包含3项：①补植过程中人员、机械作业安全保障、②日常养护作业中安全保障、③文明施工组织措施。 2、评审标准 （1）评审内容每项满分为4分，共12分； （2）评审内容每缺失一项扣4分，每项内容有下列任意一项瑕疵的扣0.4分（单项评审内容相同瑕疵不重复扣分），扣完为止；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补植人员、设备配备计划1</w:t>
            </w:r>
          </w:p>
        </w:tc>
        <w:tc>
          <w:tcPr>
            <w:tcW w:type="dxa" w:w="2492"/>
          </w:tcPr>
          <w:p>
            <w:pPr>
              <w:pStyle w:val="null3"/>
            </w:pPr>
            <w:r>
              <w:rPr>
                <w:rFonts w:ascii="仿宋_GB2312" w:hAnsi="仿宋_GB2312" w:cs="仿宋_GB2312" w:eastAsia="仿宋_GB2312"/>
              </w:rPr>
              <w:t>项目负责人具有园林绿化相关专业的中级及以上职称，计3分。 注：需提供项目负责人身份证、职称证等证明材料复印件加盖供应商公章做为评审资料。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补植人员、设备配备计划2</w:t>
            </w:r>
          </w:p>
        </w:tc>
        <w:tc>
          <w:tcPr>
            <w:tcW w:type="dxa" w:w="2492"/>
          </w:tcPr>
          <w:p>
            <w:pPr>
              <w:pStyle w:val="null3"/>
            </w:pPr>
            <w:r>
              <w:rPr>
                <w:rFonts w:ascii="仿宋_GB2312" w:hAnsi="仿宋_GB2312" w:cs="仿宋_GB2312" w:eastAsia="仿宋_GB2312"/>
              </w:rPr>
              <w:t>1、评审内容 包含2项：①项目负责人简介；补植、养护团队人员配置；分工职责、②人员考核、管理制度。 2、评审标准 （1）评审内容每项满分为4分，共8分； （2）评审内容每缺失一项扣4分，每项内容有下列任意一项瑕疵的扣0.4分（单项评审内容相同瑕疵不重复扣分），扣完为止；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补植人员、设备配备计划3</w:t>
            </w:r>
          </w:p>
        </w:tc>
        <w:tc>
          <w:tcPr>
            <w:tcW w:type="dxa" w:w="2492"/>
          </w:tcPr>
          <w:p>
            <w:pPr>
              <w:pStyle w:val="null3"/>
            </w:pPr>
            <w:r>
              <w:rPr>
                <w:rFonts w:ascii="仿宋_GB2312" w:hAnsi="仿宋_GB2312" w:cs="仿宋_GB2312" w:eastAsia="仿宋_GB2312"/>
              </w:rPr>
              <w:t>1、评审内容 包含2项：①设备拟配备清单及功能简介、②设备保养、储存管理制度。 2、评审标准 （1）评审内容每项满分为4分，共8分； （2）评审内容每缺失一项扣4分，每项内容有下列任意一项瑕疵的扣0.4分（单项评审内容相同瑕疵不重复扣分），扣完为止；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包含3项：①针对采购人应急响应的承诺、②针对采购人技术咨询的承诺；③其他有利于采购人的承诺。 2、评审标准 （1）评审内容每项满分为3分，共9分； （2）评审内容每缺失一项扣3分，每项内容有下列任意一项瑕疵的扣0.3分（单项评审内容相同瑕疵不重复扣分），扣完为止；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提供2023年1月1日起至今完成项目类似业绩，每有1项得2分，最高得6分； 注：业绩以签订时间为准，须提供合同复印件，并加盖公章，未提供或不清晰导致无法识别的不予认可。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满足磋商文件要求且最终报价最低的供应商的价格为磋商基准价得10分，其他各供应商的最终报价得分按下列公式计算：（磋商基准价/最终磋商报价）×10％×100。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详见附件：特殊资格审查证明材料</w:t>
      </w:r>
    </w:p>
    <w:p>
      <w:pPr>
        <w:pStyle w:val="null3"/>
        <w:ind w:firstLine="960"/>
      </w:pPr>
      <w:r>
        <w:rPr>
          <w:rFonts w:ascii="仿宋_GB2312" w:hAnsi="仿宋_GB2312" w:cs="仿宋_GB2312" w:eastAsia="仿宋_GB2312"/>
        </w:rPr>
        <w:t>详见附件：服务内容及服务要求响应偏离表</w:t>
      </w:r>
    </w:p>
    <w:p>
      <w:pPr>
        <w:pStyle w:val="null3"/>
        <w:ind w:firstLine="960"/>
      </w:pPr>
      <w:r>
        <w:rPr>
          <w:rFonts w:ascii="仿宋_GB2312" w:hAnsi="仿宋_GB2312" w:cs="仿宋_GB2312" w:eastAsia="仿宋_GB2312"/>
        </w:rPr>
        <w:t>详见附件：商务及其他要求响应偏离表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