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854B3">
      <w:pPr>
        <w:numPr>
          <w:ilvl w:val="0"/>
          <w:numId w:val="0"/>
        </w:numPr>
        <w:autoSpaceDE w:val="0"/>
        <w:autoSpaceDN w:val="0"/>
        <w:adjustRightInd w:val="0"/>
        <w:snapToGrid w:val="0"/>
        <w:spacing w:line="700" w:lineRule="exact"/>
        <w:ind w:left="840" w:leftChars="0" w:firstLine="0" w:firstLineChars="0"/>
        <w:jc w:val="center"/>
        <w:outlineLvl w:val="0"/>
        <w:rPr>
          <w:rFonts w:hint="eastAsia" w:ascii="宋体" w:hAnsi="宋体" w:cs="宋体"/>
          <w:b/>
          <w:bCs/>
          <w:sz w:val="44"/>
          <w:szCs w:val="44"/>
          <w:lang w:val="zh-CN"/>
        </w:rPr>
      </w:pPr>
      <w:r>
        <w:rPr>
          <w:rFonts w:hint="eastAsia" w:ascii="宋体" w:hAnsi="宋体" w:cs="宋体"/>
          <w:b/>
          <w:bCs/>
          <w:sz w:val="44"/>
          <w:szCs w:val="44"/>
          <w:lang w:val="zh-CN"/>
        </w:rPr>
        <w:t>拟签订的合同条款文本</w:t>
      </w:r>
    </w:p>
    <w:p w14:paraId="695B635E">
      <w:pPr>
        <w:spacing w:line="560" w:lineRule="exact"/>
        <w:ind w:firstLine="420" w:firstLineChars="200"/>
        <w:rPr>
          <w:rFonts w:ascii="宋体" w:hAnsi="宋体" w:cs="宋体"/>
        </w:rPr>
      </w:pPr>
      <w:bookmarkStart w:id="0" w:name="_Toc100219616"/>
    </w:p>
    <w:bookmarkEnd w:id="0"/>
    <w:p w14:paraId="3083C1F7">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甲方（采购人）： </w:t>
      </w:r>
    </w:p>
    <w:p w14:paraId="060FD240">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乙方（成交供应商）： </w:t>
      </w:r>
    </w:p>
    <w:p w14:paraId="34FBA7EC">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u w:val="single"/>
          <w:lang w:val="en-US" w:eastAsia="zh-CN"/>
        </w:rPr>
        <w:t>（</w:t>
      </w:r>
      <w:r>
        <w:rPr>
          <w:rFonts w:hint="eastAsia" w:ascii="仿宋_GB2312" w:hAnsi="仿宋_GB2312" w:eastAsia="仿宋_GB2312" w:cs="仿宋_GB2312"/>
          <w:bCs/>
          <w:sz w:val="32"/>
          <w:szCs w:val="32"/>
          <w:u w:val="single"/>
        </w:rPr>
        <w:t>项目</w:t>
      </w:r>
      <w:r>
        <w:rPr>
          <w:rFonts w:hint="eastAsia" w:ascii="仿宋_GB2312" w:hAnsi="仿宋_GB2312" w:eastAsia="仿宋_GB2312" w:cs="仿宋_GB2312"/>
          <w:bCs/>
          <w:sz w:val="32"/>
          <w:szCs w:val="32"/>
          <w:u w:val="single"/>
          <w:lang w:val="en-US" w:eastAsia="zh-CN"/>
        </w:rPr>
        <w:t>名称）、</w:t>
      </w:r>
      <w:r>
        <w:rPr>
          <w:rFonts w:hint="eastAsia" w:ascii="仿宋_GB2312" w:hAnsi="仿宋_GB2312" w:eastAsia="仿宋_GB2312" w:cs="仿宋_GB2312"/>
          <w:bCs/>
          <w:sz w:val="32"/>
          <w:szCs w:val="32"/>
          <w:u w:val="single"/>
        </w:rPr>
        <w:t>(项目编号)</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u w:val="single"/>
        </w:rPr>
        <w:t xml:space="preserve">               </w:t>
      </w:r>
      <w:r>
        <w:rPr>
          <w:rFonts w:hint="eastAsia" w:ascii="仿宋_GB2312" w:hAnsi="仿宋_GB2312" w:eastAsia="仿宋_GB2312" w:cs="仿宋_GB2312"/>
          <w:bCs/>
          <w:sz w:val="32"/>
          <w:szCs w:val="32"/>
        </w:rPr>
        <w:t>(以下简称“甲方”)确定</w:t>
      </w:r>
      <w:r>
        <w:rPr>
          <w:rFonts w:hint="eastAsia" w:ascii="仿宋_GB2312" w:hAnsi="仿宋_GB2312" w:eastAsia="仿宋_GB2312" w:cs="仿宋_GB2312"/>
          <w:bCs/>
          <w:sz w:val="32"/>
          <w:szCs w:val="32"/>
          <w:u w:val="single"/>
        </w:rPr>
        <w:t xml:space="preserve">          </w:t>
      </w:r>
      <w:r>
        <w:rPr>
          <w:rFonts w:hint="eastAsia" w:ascii="仿宋_GB2312" w:hAnsi="仿宋_GB2312" w:eastAsia="仿宋_GB2312" w:cs="仿宋_GB2312"/>
          <w:bCs/>
          <w:sz w:val="32"/>
          <w:szCs w:val="32"/>
        </w:rPr>
        <w:t>（以下简称“乙方”）为该项目的成交供应商。</w:t>
      </w:r>
    </w:p>
    <w:p w14:paraId="672DD802">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依据《中华人民共和国民法典》和《中华人民共和国政府采购法》之规定，经双方在平等、自愿、互利的基础上，签订本合同，共同信守。</w:t>
      </w:r>
    </w:p>
    <w:p w14:paraId="2120BBAC">
      <w:pPr>
        <w:autoSpaceDE w:val="0"/>
        <w:autoSpaceDN w:val="0"/>
        <w:adjustRightInd w:val="0"/>
        <w:snapToGrid w:val="0"/>
        <w:spacing w:line="360" w:lineRule="auto"/>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一、合同价款</w:t>
      </w:r>
    </w:p>
    <w:p w14:paraId="2A998E55">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（一）合同暂定价款为人民币（大写）</w:t>
      </w:r>
      <w:r>
        <w:rPr>
          <w:rFonts w:hint="eastAsia" w:ascii="仿宋_GB2312" w:hAnsi="仿宋_GB2312" w:eastAsia="仿宋_GB2312" w:cs="仿宋_GB2312"/>
          <w:bCs/>
          <w:sz w:val="32"/>
          <w:szCs w:val="32"/>
          <w:u w:val="single"/>
        </w:rPr>
        <w:t xml:space="preserve">        </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u w:val="single"/>
        </w:rPr>
        <w:t xml:space="preserve">     </w:t>
      </w:r>
      <w:r>
        <w:rPr>
          <w:rFonts w:hint="eastAsia" w:ascii="仿宋_GB2312" w:hAnsi="仿宋_GB2312" w:eastAsia="仿宋_GB2312" w:cs="仿宋_GB2312"/>
          <w:bCs/>
          <w:sz w:val="32"/>
          <w:szCs w:val="32"/>
        </w:rPr>
        <w:t>）。</w:t>
      </w:r>
    </w:p>
    <w:p w14:paraId="3B7E9749">
      <w:pPr>
        <w:autoSpaceDE w:val="0"/>
        <w:autoSpaceDN w:val="0"/>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（二）据实结算，结算金额＝苗木单价*实际完成工程量</w:t>
      </w:r>
      <w:r>
        <w:rPr>
          <w:rFonts w:hint="eastAsia" w:ascii="仿宋_GB2312" w:hAnsi="仿宋_GB2312" w:eastAsia="仿宋_GB2312" w:cs="仿宋_GB2312"/>
          <w:b/>
          <w:sz w:val="32"/>
          <w:szCs w:val="32"/>
        </w:rPr>
        <w:t>，最终支付金额不超过合同暂定价款（即投标报价）</w:t>
      </w:r>
      <w:r>
        <w:rPr>
          <w:rFonts w:hint="eastAsia" w:ascii="仿宋_GB2312" w:hAnsi="仿宋_GB2312" w:eastAsia="仿宋_GB2312" w:cs="仿宋_GB2312"/>
          <w:bCs/>
          <w:sz w:val="32"/>
          <w:szCs w:val="32"/>
        </w:rPr>
        <w:t>。</w:t>
      </w:r>
    </w:p>
    <w:p w14:paraId="7D564AF3">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yellow"/>
        </w:rPr>
      </w:pPr>
      <w:r>
        <w:rPr>
          <w:rFonts w:hint="eastAsia" w:ascii="仿宋_GB2312" w:hAnsi="仿宋_GB2312" w:eastAsia="仿宋_GB2312" w:cs="仿宋_GB2312"/>
          <w:bCs/>
          <w:sz w:val="32"/>
          <w:szCs w:val="32"/>
        </w:rPr>
        <w:t>（三）合同价款是供应商响应本次采购要求中全部工作内容的价格体现,包括完成采购内容所需的直接费、间接费、利润、税金及其他相关的一切费用。</w:t>
      </w:r>
    </w:p>
    <w:p w14:paraId="59C98189">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（四）合同各项全费用综合单价一次性包死，不受市场价格变化因素的影响。</w:t>
      </w:r>
    </w:p>
    <w:p w14:paraId="1EBAED0D">
      <w:pPr>
        <w:autoSpaceDE w:val="0"/>
        <w:autoSpaceDN w:val="0"/>
        <w:adjustRightInd w:val="0"/>
        <w:snapToGrid w:val="0"/>
        <w:spacing w:line="360" w:lineRule="auto"/>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二、委托工作内容：</w:t>
      </w:r>
      <w:r>
        <w:rPr>
          <w:rFonts w:hint="eastAsia" w:ascii="仿宋_GB2312" w:hAnsi="仿宋_GB2312" w:eastAsia="仿宋_GB2312" w:cs="仿宋_GB2312"/>
          <w:b/>
          <w:bCs/>
          <w:sz w:val="32"/>
          <w:szCs w:val="32"/>
          <w:u w:val="single"/>
        </w:rPr>
        <w:t xml:space="preserve">                                </w:t>
      </w:r>
    </w:p>
    <w:p w14:paraId="5911B38F">
      <w:pPr>
        <w:autoSpaceDE w:val="0"/>
        <w:autoSpaceDN w:val="0"/>
        <w:adjustRightInd w:val="0"/>
        <w:snapToGrid w:val="0"/>
        <w:spacing w:line="360" w:lineRule="auto"/>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三、款项结算</w:t>
      </w:r>
    </w:p>
    <w:p w14:paraId="2FE5A5A6">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（一）付款比例</w:t>
      </w:r>
    </w:p>
    <w:p w14:paraId="201FF346">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val="en-US" w:eastAsia="zh-CN"/>
        </w:rPr>
        <w:t>合同签订后，供应方向采购方开具增值税发票，采购方收到发票后在10个工作日内向供应商支付合同价款的40%；养护期满验收合格后，在10个工作日内采购方支付供应商合同总价款的剩余款项</w:t>
      </w:r>
      <w:r>
        <w:rPr>
          <w:rFonts w:hint="eastAsia" w:ascii="仿宋_GB2312" w:hAnsi="仿宋_GB2312" w:eastAsia="仿宋_GB2312" w:cs="仿宋_GB2312"/>
          <w:bCs/>
          <w:sz w:val="32"/>
          <w:szCs w:val="32"/>
          <w:lang w:eastAsia="zh-CN"/>
        </w:rPr>
        <w:t>。</w:t>
      </w:r>
    </w:p>
    <w:p w14:paraId="29EA767E">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（二）付款依据：乙方开具的等额发票、双方出具的验收报告等相关资料。</w:t>
      </w:r>
    </w:p>
    <w:p w14:paraId="3819205C">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（三）支付方式：银行转账。</w:t>
      </w:r>
    </w:p>
    <w:p w14:paraId="07B38CD2">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（四）结算方式：乙方在每次接受甲方付款前，开具等额发票给甲方。</w:t>
      </w:r>
    </w:p>
    <w:p w14:paraId="3020B516">
      <w:pPr>
        <w:autoSpaceDE w:val="0"/>
        <w:autoSpaceDN w:val="0"/>
        <w:adjustRightInd w:val="0"/>
        <w:snapToGrid w:val="0"/>
        <w:spacing w:line="360" w:lineRule="auto"/>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四、实施地点、工期与养护周期：</w:t>
      </w:r>
    </w:p>
    <w:p w14:paraId="7E015357">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w:t>
      </w:r>
      <w:r>
        <w:rPr>
          <w:rFonts w:hint="eastAsia" w:ascii="仿宋_GB2312" w:hAnsi="仿宋_GB2312" w:eastAsia="仿宋_GB2312" w:cs="仿宋_GB2312"/>
          <w:bCs/>
          <w:sz w:val="32"/>
          <w:szCs w:val="32"/>
          <w:lang w:val="en-US" w:eastAsia="zh-CN"/>
        </w:rPr>
        <w:t>栽植期</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自合同签订之日起30日内完成</w:t>
      </w:r>
      <w:r>
        <w:rPr>
          <w:rFonts w:hint="eastAsia" w:ascii="仿宋_GB2312" w:hAnsi="仿宋_GB2312" w:eastAsia="仿宋_GB2312" w:cs="仿宋_GB2312"/>
          <w:kern w:val="0"/>
          <w:sz w:val="32"/>
          <w:szCs w:val="32"/>
        </w:rPr>
        <w:t>。</w:t>
      </w:r>
    </w:p>
    <w:p w14:paraId="329F3CAD">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（二）养护周期：验收合格后一年内，乙方应对整体项目免费提供养护服务，养护期内出现问题及时进行修补，直至达到绿化验收标准。乙方应积极履行养护期内职责，养护期间出现质量问题由乙方承担。</w:t>
      </w:r>
    </w:p>
    <w:p w14:paraId="0170AE83">
      <w:pPr>
        <w:autoSpaceDE w:val="0"/>
        <w:autoSpaceDN w:val="0"/>
        <w:adjustRightInd w:val="0"/>
        <w:snapToGrid w:val="0"/>
        <w:spacing w:line="360" w:lineRule="auto"/>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Cs/>
          <w:sz w:val="32"/>
          <w:szCs w:val="32"/>
        </w:rPr>
        <w:t>（三）实施地点：</w:t>
      </w:r>
      <w:bookmarkStart w:id="1" w:name="_GoBack"/>
      <w:bookmarkEnd w:id="1"/>
      <w:r>
        <w:rPr>
          <w:rFonts w:hint="eastAsia" w:ascii="仿宋_GB2312" w:hAnsi="仿宋_GB2312" w:eastAsia="仿宋_GB2312" w:cs="仿宋_GB2312"/>
          <w:bCs/>
          <w:sz w:val="32"/>
          <w:szCs w:val="32"/>
        </w:rPr>
        <w:t>具体以甲方指定地点为准。</w:t>
      </w:r>
    </w:p>
    <w:p w14:paraId="55D11679">
      <w:pPr>
        <w:autoSpaceDE w:val="0"/>
        <w:autoSpaceDN w:val="0"/>
        <w:adjustRightInd w:val="0"/>
        <w:snapToGrid w:val="0"/>
        <w:spacing w:line="360" w:lineRule="auto"/>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五、双方的权利和义务</w:t>
      </w:r>
    </w:p>
    <w:p w14:paraId="7A683923">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（一）甲方的权利与义务</w:t>
      </w:r>
    </w:p>
    <w:p w14:paraId="2DA4D052">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1、甲方和有关管理部门有权组织对乙方作业质量、文明、安全作业情况进行定期检查考评，有权查阅、复制承包项目的有关文件和资料以及进入现场开展检查，但不得干扰乙方的正常作业。</w:t>
      </w:r>
    </w:p>
    <w:p w14:paraId="4D7FEF03">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2、在承包期内乙方应严格按照甲方要求进行工作。</w:t>
      </w:r>
    </w:p>
    <w:p w14:paraId="1B8C5D5E">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3、甲方有权协同劳动监察部门对乙方用工情况进行检查，有权要求乙方按采购要求保障人员的福利待遇。甲方不承担任何由于乙方未办理员工劳动关系由此而产生的纠纷等责任。</w:t>
      </w:r>
    </w:p>
    <w:p w14:paraId="70AF7668">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4、遇重大活动或检查突击任务需要时，甲方应及时通知乙方做好重点保障工作。</w:t>
      </w:r>
    </w:p>
    <w:p w14:paraId="145849D8">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5、甲方应积极协助乙方解决在</w:t>
      </w:r>
      <w:r>
        <w:rPr>
          <w:rFonts w:hint="eastAsia" w:ascii="仿宋_GB2312" w:hAnsi="仿宋_GB2312" w:eastAsia="仿宋_GB2312" w:cs="仿宋_GB2312"/>
          <w:bCs/>
          <w:sz w:val="32"/>
          <w:szCs w:val="32"/>
          <w:lang w:eastAsia="zh-CN"/>
        </w:rPr>
        <w:t>项目实施期间</w:t>
      </w:r>
      <w:r>
        <w:rPr>
          <w:rFonts w:hint="eastAsia" w:ascii="仿宋_GB2312" w:hAnsi="仿宋_GB2312" w:eastAsia="仿宋_GB2312" w:cs="仿宋_GB2312"/>
          <w:bCs/>
          <w:sz w:val="32"/>
          <w:szCs w:val="32"/>
        </w:rPr>
        <w:t>出现的相关问题。</w:t>
      </w:r>
    </w:p>
    <w:p w14:paraId="3595B78A">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（二）乙方的权利与义务</w:t>
      </w:r>
    </w:p>
    <w:p w14:paraId="54473E2E">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1、乙方必须依照本合同规定的作业形式、作业质量标准及行业有关作业规范，按时、保质、保量完成所承包的补植、养护工作。</w:t>
      </w:r>
    </w:p>
    <w:p w14:paraId="21E4A5C7">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2、乙方应按合同配备足额人员，负责合同范围内的工作，确保项目的安全稳定，保证安全文明、高效的履行职责，乙方应确定一名项目负责人，项目负责人负责与甲方的联系沟通。</w:t>
      </w:r>
    </w:p>
    <w:p w14:paraId="383A932A">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u w:val="single"/>
        </w:rPr>
      </w:pPr>
      <w:r>
        <w:rPr>
          <w:rFonts w:hint="eastAsia" w:ascii="仿宋_GB2312" w:hAnsi="仿宋_GB2312" w:eastAsia="仿宋_GB2312" w:cs="仿宋_GB2312"/>
          <w:bCs/>
          <w:sz w:val="32"/>
          <w:szCs w:val="32"/>
        </w:rPr>
        <w:t>乙方项目负责人：</w:t>
      </w:r>
      <w:r>
        <w:rPr>
          <w:rFonts w:hint="eastAsia" w:ascii="仿宋_GB2312" w:hAnsi="仿宋_GB2312" w:eastAsia="仿宋_GB2312" w:cs="仿宋_GB2312"/>
          <w:bCs/>
          <w:sz w:val="32"/>
          <w:szCs w:val="32"/>
          <w:u w:val="single"/>
        </w:rPr>
        <w:t xml:space="preserve">              </w:t>
      </w:r>
      <w:r>
        <w:rPr>
          <w:rFonts w:hint="eastAsia" w:ascii="仿宋_GB2312" w:hAnsi="仿宋_GB2312" w:eastAsia="仿宋_GB2312" w:cs="仿宋_GB2312"/>
          <w:bCs/>
          <w:sz w:val="32"/>
          <w:szCs w:val="32"/>
        </w:rPr>
        <w:t>联系电话：</w:t>
      </w:r>
      <w:r>
        <w:rPr>
          <w:rFonts w:hint="eastAsia" w:ascii="仿宋_GB2312" w:hAnsi="仿宋_GB2312" w:eastAsia="仿宋_GB2312" w:cs="仿宋_GB2312"/>
          <w:bCs/>
          <w:sz w:val="32"/>
          <w:szCs w:val="32"/>
          <w:u w:val="single"/>
        </w:rPr>
        <w:t xml:space="preserve">              </w:t>
      </w:r>
    </w:p>
    <w:p w14:paraId="584DC29C">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3、乙方及其雇用的员工应严格遵守国家的法律、法规，如果乙方及其所雇用的员工违反法律、法规和相关规定，所造成的后果由乙方自行负责，与甲方无关，若因此给甲方造成损失的，应赔偿甲方所受的损失。</w:t>
      </w:r>
    </w:p>
    <w:p w14:paraId="0842ADAD">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乙方必须根据国家、省、地方和本市园林行业主管部门颁布的各项环卫作业规范、安全规范、质量标准，建立自身的运营管理机制和质量检查机制、实行自查自纠；若出现严重的质量问题或安全事故，在采取措施补救的同时，当日应向甲方及主管部门报告；</w:t>
      </w:r>
    </w:p>
    <w:p w14:paraId="3B05AA7F">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乙方必须按国家的劳动法律法规规定与企业员工确立合法的劳动关系，签订书面劳动合同，为企业员工办理养老、医疗等基本社会保险，并为养护人员办理工伤保险和人身意外伤害的商业保险。若员工发生事故，必须按有关规定处理，一切经济损失和各项费用由乙方自理。若乙方未按时支付员工工资，在有员工投诉时，甲方有权在支付下一期的承包费时予以暂扣。若因此给甲方造成损失的，应赔偿甲方所受的损失。</w:t>
      </w:r>
    </w:p>
    <w:p w14:paraId="2F3661DB">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6、乙方必须对企业员工进行道德教育和工作培训。教育职工严格遵守国家法律法规及园林养护作业操作规程。人员应经园林养护专业培训后方可上岗作业。</w:t>
      </w:r>
    </w:p>
    <w:p w14:paraId="14B26360">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7、未经甲方同意，乙方不得擅自将所承包的合同转让给他人，或肢解分包给他人。</w:t>
      </w:r>
    </w:p>
    <w:p w14:paraId="11D96995">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8、乙方人员对涉及秘密级业务的技术资料、数据、保密信息等进行严格保密，一旦泄密，需承担相应法律责任。</w:t>
      </w:r>
    </w:p>
    <w:p w14:paraId="0A9EC177">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9、接受甲方的管理、监督、检查和考核，对甲方发出的整改通知，应及时按甲方的要求进行整改。乙方无正当理由拒绝整改时，甲方可以另行委托他人予以整改，所发生的费用由乙方承担。</w:t>
      </w:r>
    </w:p>
    <w:p w14:paraId="55B412AB">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10、乙方必须遵循安全作业和文明作业的规定，在履行本合同的过程中，采取严格的安全防范措施。对于养护过程中发生的一切人身伤亡事故及其他损害，由乙方自行承担所有责任。若造成甲方因此而承担有关法律责任，乙方除应赔偿因此造成的一切损失外，甲方有权单方面解除本合同；</w:t>
      </w:r>
    </w:p>
    <w:p w14:paraId="3A05645F">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11、乙方必须加强对所辖区域的日常巡视检查，及时解决处理所存在的问题；</w:t>
      </w:r>
    </w:p>
    <w:p w14:paraId="52DA852E">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12、</w:t>
      </w:r>
      <w:r>
        <w:rPr>
          <w:rFonts w:hint="eastAsia" w:ascii="仿宋_GB2312" w:hAnsi="仿宋_GB2312" w:eastAsia="仿宋_GB2312" w:cs="仿宋_GB2312"/>
          <w:kern w:val="0"/>
          <w:sz w:val="32"/>
          <w:szCs w:val="32"/>
        </w:rPr>
        <w:t>乙方须自行解决车辆、工具设施、人员办公场所、设施存放库房、车辆停放场地等</w:t>
      </w:r>
      <w:r>
        <w:rPr>
          <w:rFonts w:hint="eastAsia" w:ascii="仿宋_GB2312" w:hAnsi="仿宋_GB2312" w:eastAsia="仿宋_GB2312" w:cs="仿宋_GB2312"/>
          <w:bCs/>
          <w:sz w:val="32"/>
          <w:szCs w:val="32"/>
        </w:rPr>
        <w:t>。</w:t>
      </w:r>
    </w:p>
    <w:p w14:paraId="1945A538">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13、乙方须自行承担养护车辆、工具设施设备的用油、维修、停放等相关费用，承担农药、营养液、除草剂等养护用品相关费用。</w:t>
      </w:r>
    </w:p>
    <w:p w14:paraId="5D1599C5">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14、移植及养护期内，乙方负责其所需的水、电设施，自行处理与补植地点的有关管理部门和单位的协调工作。</w:t>
      </w:r>
    </w:p>
    <w:p w14:paraId="7B8B3ED8">
      <w:pPr>
        <w:autoSpaceDE w:val="0"/>
        <w:autoSpaceDN w:val="0"/>
        <w:adjustRightInd w:val="0"/>
        <w:snapToGrid w:val="0"/>
        <w:spacing w:line="360" w:lineRule="auto"/>
        <w:ind w:firstLine="643" w:firstLineChars="200"/>
        <w:rPr>
          <w:rFonts w:hint="eastAsia" w:ascii="仿宋_GB2312" w:hAnsi="仿宋_GB2312" w:eastAsia="仿宋_GB2312" w:cs="仿宋_GB2312"/>
          <w:bCs/>
          <w:sz w:val="32"/>
          <w:szCs w:val="32"/>
        </w:rPr>
      </w:pPr>
      <w:r>
        <w:rPr>
          <w:rFonts w:hint="eastAsia" w:ascii="仿宋_GB2312" w:hAnsi="仿宋_GB2312" w:eastAsia="仿宋_GB2312" w:cs="仿宋_GB2312"/>
          <w:b/>
          <w:sz w:val="32"/>
          <w:szCs w:val="32"/>
        </w:rPr>
        <w:t>六、施工要求</w:t>
      </w:r>
    </w:p>
    <w:p w14:paraId="7F562B42">
      <w:pPr>
        <w:autoSpaceDE w:val="0"/>
        <w:autoSpaceDN w:val="0"/>
        <w:adjustRightInd w:val="0"/>
        <w:snapToGrid w:val="0"/>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1、为了确保工程质量，乙方应组织一支强有力的技术骨干队伍，建立严格的质量管理体系，规范操作。</w:t>
      </w:r>
    </w:p>
    <w:p w14:paraId="7F5F420B">
      <w:pPr>
        <w:autoSpaceDE w:val="0"/>
        <w:autoSpaceDN w:val="0"/>
        <w:adjustRightInd w:val="0"/>
        <w:snapToGrid w:val="0"/>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2、乙方须自行解决车辆、工具设施、人员办公场所、设施存放库房、车辆停放场地等。</w:t>
      </w:r>
    </w:p>
    <w:p w14:paraId="4CD07968">
      <w:pPr>
        <w:autoSpaceDE w:val="0"/>
        <w:autoSpaceDN w:val="0"/>
        <w:adjustRightInd w:val="0"/>
        <w:snapToGrid w:val="0"/>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3、严格按照西安高新技术产业开发区城市管理和综合执法局安全文明施工要求进行作业，所有施工需在硬质围挡内进行，围挡拆除时，施工现场必须恢复原貌。</w:t>
      </w:r>
    </w:p>
    <w:p w14:paraId="33B05D65">
      <w:pPr>
        <w:autoSpaceDE w:val="0"/>
        <w:autoSpaceDN w:val="0"/>
        <w:adjustRightInd w:val="0"/>
        <w:snapToGrid w:val="0"/>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合理安排施工时间，需避免人流高峰期，设置安全警示标识，做好交通疏导等必要措施。避免夜间施工扰民，如有特殊情况需要在夜间或天气暗淡时施工，应上报监理，并在施工现场做好发光标识，施工人员一律穿戴发光警示服。</w:t>
      </w:r>
    </w:p>
    <w:p w14:paraId="7A0BBEFB">
      <w:pPr>
        <w:autoSpaceDE w:val="0"/>
        <w:autoSpaceDN w:val="0"/>
        <w:adjustRightInd w:val="0"/>
        <w:snapToGrid w:val="0"/>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5、苗木运输过程中需遵守相关的道路法律、法规，避免人流高峰期运输苗木。</w:t>
      </w:r>
    </w:p>
    <w:p w14:paraId="2DC885B9">
      <w:pPr>
        <w:autoSpaceDE w:val="0"/>
        <w:autoSpaceDN w:val="0"/>
        <w:adjustRightInd w:val="0"/>
        <w:snapToGrid w:val="0"/>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6、苗木迁移工作内容：起挖、运输、栽植、支撑、养护期1年。</w:t>
      </w:r>
    </w:p>
    <w:p w14:paraId="375DC858">
      <w:pPr>
        <w:autoSpaceDE w:val="0"/>
        <w:autoSpaceDN w:val="0"/>
        <w:adjustRightInd w:val="0"/>
        <w:snapToGrid w:val="0"/>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工程阶段验收后，需按月上报养护计划及成活率情况，并按计划进行苗木的养护工作。自验收之日起，需保证苗木成活率达到95％以上并及时更换死苗，否则不予支付项目款项。如有不及时补栽的情况，甲方可直接在剩余项目款项中扣除相应死苗维护费用。</w:t>
      </w:r>
    </w:p>
    <w:p w14:paraId="6DAE72D4">
      <w:pPr>
        <w:autoSpaceDE w:val="0"/>
        <w:autoSpaceDN w:val="0"/>
        <w:adjustRightInd w:val="0"/>
        <w:snapToGrid w:val="0"/>
        <w:spacing w:line="360" w:lineRule="auto"/>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七、其它事项</w:t>
      </w:r>
    </w:p>
    <w:p w14:paraId="57C539A3">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（一）乙方不得转让、分包给其它单位或个人。</w:t>
      </w:r>
    </w:p>
    <w:p w14:paraId="20DA5138">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（二）乙方的响应文件和承诺等内容将列入合同。</w:t>
      </w:r>
    </w:p>
    <w:p w14:paraId="5B19863E">
      <w:pPr>
        <w:autoSpaceDE w:val="0"/>
        <w:autoSpaceDN w:val="0"/>
        <w:adjustRightInd w:val="0"/>
        <w:snapToGrid w:val="0"/>
        <w:spacing w:line="360" w:lineRule="auto"/>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八、验收</w:t>
      </w:r>
    </w:p>
    <w:p w14:paraId="430812B3">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（一）本项目验收费用，由乙方自行承担。</w:t>
      </w:r>
    </w:p>
    <w:p w14:paraId="724F9664">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w:t>
      </w:r>
      <w:r>
        <w:rPr>
          <w:rFonts w:hint="eastAsia" w:ascii="仿宋_GB2312" w:hAnsi="仿宋_GB2312" w:eastAsia="仿宋_GB2312" w:cs="仿宋_GB2312"/>
          <w:bCs/>
          <w:sz w:val="32"/>
          <w:szCs w:val="32"/>
          <w:lang w:eastAsia="zh-CN"/>
        </w:rPr>
        <w:t>养护周</w:t>
      </w:r>
      <w:r>
        <w:rPr>
          <w:rFonts w:hint="eastAsia" w:ascii="仿宋_GB2312" w:hAnsi="仿宋_GB2312" w:eastAsia="仿宋_GB2312" w:cs="仿宋_GB2312"/>
          <w:bCs/>
          <w:sz w:val="32"/>
          <w:szCs w:val="32"/>
        </w:rPr>
        <w:t>期满后，由乙方向甲方递交验收通知书，经甲方确认后，组织乙方进行验收。验收合格后，填写政府采购项目验收单作为对本</w:t>
      </w:r>
      <w:r>
        <w:rPr>
          <w:rFonts w:hint="eastAsia" w:ascii="仿宋_GB2312" w:hAnsi="仿宋_GB2312" w:eastAsia="仿宋_GB2312" w:cs="仿宋_GB2312"/>
          <w:bCs/>
          <w:sz w:val="32"/>
          <w:szCs w:val="32"/>
          <w:lang w:eastAsia="zh-CN"/>
        </w:rPr>
        <w:t>项目</w:t>
      </w:r>
      <w:r>
        <w:rPr>
          <w:rFonts w:hint="eastAsia" w:ascii="仿宋_GB2312" w:hAnsi="仿宋_GB2312" w:eastAsia="仿宋_GB2312" w:cs="仿宋_GB2312"/>
          <w:bCs/>
          <w:sz w:val="32"/>
          <w:szCs w:val="32"/>
        </w:rPr>
        <w:t>的最终认可。</w:t>
      </w:r>
    </w:p>
    <w:p w14:paraId="7EDE59F2">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（三）验收依据：</w:t>
      </w:r>
    </w:p>
    <w:p w14:paraId="546A22B4">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1、本合同及附加文本；</w:t>
      </w:r>
    </w:p>
    <w:p w14:paraId="09D71853">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2、磋商文件、成交供应商的响应文件及澄清（承诺）函；</w:t>
      </w:r>
    </w:p>
    <w:p w14:paraId="4A85B26B">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3、国家相应的标准、规范。</w:t>
      </w:r>
    </w:p>
    <w:p w14:paraId="78A60729">
      <w:pPr>
        <w:autoSpaceDE w:val="0"/>
        <w:autoSpaceDN w:val="0"/>
        <w:adjustRightInd w:val="0"/>
        <w:snapToGrid w:val="0"/>
        <w:spacing w:line="360" w:lineRule="auto"/>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九、违约责任</w:t>
      </w:r>
    </w:p>
    <w:p w14:paraId="6E93DB05">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（一）按《中华人民共和国民法典》中的相关条款执行。</w:t>
      </w:r>
    </w:p>
    <w:p w14:paraId="39786DE7">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（二）未按合同要求提供</w:t>
      </w:r>
      <w:r>
        <w:rPr>
          <w:rFonts w:hint="eastAsia" w:ascii="仿宋_GB2312" w:hAnsi="仿宋_GB2312" w:eastAsia="仿宋_GB2312" w:cs="仿宋_GB2312"/>
          <w:bCs/>
          <w:sz w:val="32"/>
          <w:szCs w:val="32"/>
          <w:lang w:eastAsia="zh-CN"/>
        </w:rPr>
        <w:t>工作内容</w:t>
      </w:r>
      <w:r>
        <w:rPr>
          <w:rFonts w:hint="eastAsia" w:ascii="仿宋_GB2312" w:hAnsi="仿宋_GB2312" w:eastAsia="仿宋_GB2312" w:cs="仿宋_GB2312"/>
          <w:bCs/>
          <w:sz w:val="32"/>
          <w:szCs w:val="32"/>
        </w:rPr>
        <w:t>或</w:t>
      </w:r>
      <w:r>
        <w:rPr>
          <w:rFonts w:hint="eastAsia" w:ascii="仿宋_GB2312" w:hAnsi="仿宋_GB2312" w:eastAsia="仿宋_GB2312" w:cs="仿宋_GB2312"/>
          <w:bCs/>
          <w:sz w:val="32"/>
          <w:szCs w:val="32"/>
          <w:lang w:eastAsia="zh-CN"/>
        </w:rPr>
        <w:t>项目</w:t>
      </w:r>
      <w:r>
        <w:rPr>
          <w:rFonts w:hint="eastAsia" w:ascii="仿宋_GB2312" w:hAnsi="仿宋_GB2312" w:eastAsia="仿宋_GB2312" w:cs="仿宋_GB2312"/>
          <w:bCs/>
          <w:sz w:val="32"/>
          <w:szCs w:val="32"/>
        </w:rPr>
        <w:t>质量不能满足本次采购要求，甲方会同监督机构、采购代理机构有权终止合同和对乙方违约行为进行追究，同时按政府采购法的有关规定进行相应的处罚。</w:t>
      </w:r>
    </w:p>
    <w:p w14:paraId="069133E1">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三</w:t>
      </w:r>
      <w:r>
        <w:rPr>
          <w:rFonts w:hint="eastAsia" w:ascii="仿宋_GB2312" w:hAnsi="仿宋_GB2312" w:eastAsia="仿宋_GB2312" w:cs="仿宋_GB2312"/>
          <w:bCs/>
          <w:sz w:val="32"/>
          <w:szCs w:val="32"/>
        </w:rPr>
        <w:t>）任何一方因不可抗力原因不能履行协议时，应尽快通知对方，双方均设法补偿。如仍无法履约协议，可协商延缓或撤销协议，双方责任免除。</w:t>
      </w:r>
    </w:p>
    <w:p w14:paraId="348C1B36">
      <w:pPr>
        <w:autoSpaceDE w:val="0"/>
        <w:autoSpaceDN w:val="0"/>
        <w:adjustRightInd w:val="0"/>
        <w:snapToGrid w:val="0"/>
        <w:spacing w:line="360" w:lineRule="auto"/>
        <w:ind w:firstLine="643" w:firstLineChars="200"/>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十、合同争议解决的方式</w:t>
      </w:r>
    </w:p>
    <w:p w14:paraId="2C7F1A97">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（一）本合同在履行过程中发生的争议，由甲、乙双方当事人协商解决，协商不成的按下列第</w:t>
      </w:r>
      <w:r>
        <w:rPr>
          <w:rFonts w:hint="eastAsia" w:ascii="仿宋_GB2312" w:hAnsi="仿宋_GB2312" w:eastAsia="仿宋_GB2312" w:cs="仿宋_GB2312"/>
          <w:bCs/>
          <w:sz w:val="32"/>
          <w:szCs w:val="32"/>
          <w:u w:val="single"/>
        </w:rPr>
        <w:t xml:space="preserve"> 2 </w:t>
      </w:r>
      <w:r>
        <w:rPr>
          <w:rFonts w:hint="eastAsia" w:ascii="仿宋_GB2312" w:hAnsi="仿宋_GB2312" w:eastAsia="仿宋_GB2312" w:cs="仿宋_GB2312"/>
          <w:bCs/>
          <w:sz w:val="32"/>
          <w:szCs w:val="32"/>
        </w:rPr>
        <w:t>种方式解决：</w:t>
      </w:r>
    </w:p>
    <w:p w14:paraId="6979446A">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1、提交西安仲裁委员会仲裁；</w:t>
      </w:r>
    </w:p>
    <w:p w14:paraId="54A5FB6D">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2、依法向甲方所在地人民法院起诉。</w:t>
      </w:r>
    </w:p>
    <w:p w14:paraId="6A75E6A9">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（二）因质量问题发生的争议，由国家权威技术单位进行质量鉴定，该鉴定结论为最终结果，甲乙双方应当接受。</w:t>
      </w:r>
    </w:p>
    <w:p w14:paraId="4B4C1CE8">
      <w:pPr>
        <w:autoSpaceDE w:val="0"/>
        <w:autoSpaceDN w:val="0"/>
        <w:adjustRightInd w:val="0"/>
        <w:snapToGrid w:val="0"/>
        <w:spacing w:line="360" w:lineRule="auto"/>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十一、合同生效</w:t>
      </w:r>
    </w:p>
    <w:p w14:paraId="1B67B544">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（一）本合同须经甲、乙双方的法定代表人（授权代理人）在合同书上签字并加盖本单位公章后正式生效。</w:t>
      </w:r>
    </w:p>
    <w:p w14:paraId="70966A0B">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（二）合同生效后，甲、乙双方须严格执行本合同条款的规定，全面履行合同，违者按《中华人民共和国民法典》的有关规定承担相应责任。</w:t>
      </w:r>
    </w:p>
    <w:p w14:paraId="31912BDD">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（三）本合同一式</w:t>
      </w:r>
      <w:r>
        <w:rPr>
          <w:rFonts w:hint="eastAsia" w:ascii="仿宋_GB2312" w:hAnsi="仿宋_GB2312" w:eastAsia="仿宋_GB2312" w:cs="仿宋_GB2312"/>
          <w:bCs/>
          <w:sz w:val="32"/>
          <w:szCs w:val="32"/>
          <w:u w:val="single"/>
        </w:rPr>
        <w:t xml:space="preserve">   </w:t>
      </w:r>
      <w:r>
        <w:rPr>
          <w:rFonts w:hint="eastAsia" w:ascii="仿宋_GB2312" w:hAnsi="仿宋_GB2312" w:eastAsia="仿宋_GB2312" w:cs="仿宋_GB2312"/>
          <w:bCs/>
          <w:sz w:val="32"/>
          <w:szCs w:val="32"/>
        </w:rPr>
        <w:t>份，甲乙双方各执</w:t>
      </w:r>
      <w:r>
        <w:rPr>
          <w:rFonts w:hint="eastAsia" w:ascii="仿宋_GB2312" w:hAnsi="仿宋_GB2312" w:eastAsia="仿宋_GB2312" w:cs="仿宋_GB2312"/>
          <w:bCs/>
          <w:sz w:val="32"/>
          <w:szCs w:val="32"/>
          <w:u w:val="single"/>
        </w:rPr>
        <w:t xml:space="preserve">    </w:t>
      </w:r>
      <w:r>
        <w:rPr>
          <w:rFonts w:hint="eastAsia" w:ascii="仿宋_GB2312" w:hAnsi="仿宋_GB2312" w:eastAsia="仿宋_GB2312" w:cs="仿宋_GB2312"/>
          <w:bCs/>
          <w:sz w:val="32"/>
          <w:szCs w:val="32"/>
        </w:rPr>
        <w:t>份。</w:t>
      </w:r>
    </w:p>
    <w:p w14:paraId="6A6CE506">
      <w:pPr>
        <w:adjustRightInd w:val="0"/>
        <w:snapToGrid w:val="0"/>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（四）本合同如有未尽事宜，甲、乙双方协商解决。</w:t>
      </w:r>
    </w:p>
    <w:tbl>
      <w:tblPr>
        <w:tblStyle w:val="2"/>
        <w:tblW w:w="0" w:type="auto"/>
        <w:jc w:val="center"/>
        <w:tblLayout w:type="fixed"/>
        <w:tblCellMar>
          <w:top w:w="0" w:type="dxa"/>
          <w:left w:w="108" w:type="dxa"/>
          <w:bottom w:w="0" w:type="dxa"/>
          <w:right w:w="108" w:type="dxa"/>
        </w:tblCellMar>
      </w:tblPr>
      <w:tblGrid>
        <w:gridCol w:w="4269"/>
        <w:gridCol w:w="4270"/>
      </w:tblGrid>
      <w:tr w14:paraId="632F4931">
        <w:tblPrEx>
          <w:tblCellMar>
            <w:top w:w="0" w:type="dxa"/>
            <w:left w:w="108" w:type="dxa"/>
            <w:bottom w:w="0" w:type="dxa"/>
            <w:right w:w="108" w:type="dxa"/>
          </w:tblCellMar>
        </w:tblPrEx>
        <w:trPr>
          <w:trHeight w:val="592" w:hRule="exact"/>
          <w:jc w:val="center"/>
        </w:trPr>
        <w:tc>
          <w:tcPr>
            <w:tcW w:w="4269" w:type="dxa"/>
            <w:noWrap w:val="0"/>
            <w:vAlign w:val="center"/>
          </w:tcPr>
          <w:p w14:paraId="3C4531B5">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甲  方（盖章）</w:t>
            </w:r>
          </w:p>
        </w:tc>
        <w:tc>
          <w:tcPr>
            <w:tcW w:w="4270" w:type="dxa"/>
            <w:noWrap w:val="0"/>
            <w:vAlign w:val="center"/>
          </w:tcPr>
          <w:p w14:paraId="1009EACC">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乙  方（盖章）</w:t>
            </w:r>
          </w:p>
        </w:tc>
      </w:tr>
      <w:tr w14:paraId="00B7BE58">
        <w:tblPrEx>
          <w:tblCellMar>
            <w:top w:w="0" w:type="dxa"/>
            <w:left w:w="108" w:type="dxa"/>
            <w:bottom w:w="0" w:type="dxa"/>
            <w:right w:w="108" w:type="dxa"/>
          </w:tblCellMar>
        </w:tblPrEx>
        <w:trPr>
          <w:trHeight w:val="632" w:hRule="exact"/>
          <w:jc w:val="center"/>
        </w:trPr>
        <w:tc>
          <w:tcPr>
            <w:tcW w:w="4269" w:type="dxa"/>
            <w:noWrap w:val="0"/>
            <w:vAlign w:val="center"/>
          </w:tcPr>
          <w:p w14:paraId="3DFC364B">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 xml:space="preserve">地址： </w:t>
            </w:r>
          </w:p>
        </w:tc>
        <w:tc>
          <w:tcPr>
            <w:tcW w:w="4270" w:type="dxa"/>
            <w:noWrap w:val="0"/>
            <w:vAlign w:val="center"/>
          </w:tcPr>
          <w:p w14:paraId="27E9EE31">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地址：</w:t>
            </w:r>
          </w:p>
        </w:tc>
      </w:tr>
      <w:tr w14:paraId="09F31AF4">
        <w:tblPrEx>
          <w:tblCellMar>
            <w:top w:w="0" w:type="dxa"/>
            <w:left w:w="108" w:type="dxa"/>
            <w:bottom w:w="0" w:type="dxa"/>
            <w:right w:w="108" w:type="dxa"/>
          </w:tblCellMar>
        </w:tblPrEx>
        <w:trPr>
          <w:trHeight w:val="646" w:hRule="exact"/>
          <w:jc w:val="center"/>
        </w:trPr>
        <w:tc>
          <w:tcPr>
            <w:tcW w:w="4269" w:type="dxa"/>
            <w:noWrap w:val="0"/>
            <w:vAlign w:val="center"/>
          </w:tcPr>
          <w:p w14:paraId="6A2A38BA">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邮编：</w:t>
            </w:r>
          </w:p>
        </w:tc>
        <w:tc>
          <w:tcPr>
            <w:tcW w:w="4270" w:type="dxa"/>
            <w:noWrap w:val="0"/>
            <w:vAlign w:val="center"/>
          </w:tcPr>
          <w:p w14:paraId="4D9CBAFA">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邮编：</w:t>
            </w:r>
          </w:p>
        </w:tc>
      </w:tr>
      <w:tr w14:paraId="5C2EE5B5">
        <w:tblPrEx>
          <w:tblCellMar>
            <w:top w:w="0" w:type="dxa"/>
            <w:left w:w="108" w:type="dxa"/>
            <w:bottom w:w="0" w:type="dxa"/>
            <w:right w:w="108" w:type="dxa"/>
          </w:tblCellMar>
        </w:tblPrEx>
        <w:trPr>
          <w:trHeight w:val="646" w:hRule="exact"/>
          <w:jc w:val="center"/>
        </w:trPr>
        <w:tc>
          <w:tcPr>
            <w:tcW w:w="4269" w:type="dxa"/>
            <w:noWrap w:val="0"/>
            <w:vAlign w:val="center"/>
          </w:tcPr>
          <w:p w14:paraId="0F52CB12">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 xml:space="preserve">法定代表人： </w:t>
            </w:r>
          </w:p>
        </w:tc>
        <w:tc>
          <w:tcPr>
            <w:tcW w:w="4270" w:type="dxa"/>
            <w:noWrap w:val="0"/>
            <w:vAlign w:val="center"/>
          </w:tcPr>
          <w:p w14:paraId="5625698B">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法定代表人：</w:t>
            </w:r>
          </w:p>
        </w:tc>
      </w:tr>
      <w:tr w14:paraId="5228DAE4">
        <w:tblPrEx>
          <w:tblCellMar>
            <w:top w:w="0" w:type="dxa"/>
            <w:left w:w="108" w:type="dxa"/>
            <w:bottom w:w="0" w:type="dxa"/>
            <w:right w:w="108" w:type="dxa"/>
          </w:tblCellMar>
        </w:tblPrEx>
        <w:trPr>
          <w:trHeight w:val="646" w:hRule="exact"/>
          <w:jc w:val="center"/>
        </w:trPr>
        <w:tc>
          <w:tcPr>
            <w:tcW w:w="4269" w:type="dxa"/>
            <w:noWrap w:val="0"/>
            <w:vAlign w:val="center"/>
          </w:tcPr>
          <w:p w14:paraId="035550A2">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被授权代表：</w:t>
            </w:r>
          </w:p>
        </w:tc>
        <w:tc>
          <w:tcPr>
            <w:tcW w:w="4270" w:type="dxa"/>
            <w:noWrap w:val="0"/>
            <w:vAlign w:val="center"/>
          </w:tcPr>
          <w:p w14:paraId="736CDC9A">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被授权代表：</w:t>
            </w:r>
          </w:p>
        </w:tc>
      </w:tr>
      <w:tr w14:paraId="4FA94E91">
        <w:tblPrEx>
          <w:tblCellMar>
            <w:top w:w="0" w:type="dxa"/>
            <w:left w:w="108" w:type="dxa"/>
            <w:bottom w:w="0" w:type="dxa"/>
            <w:right w:w="108" w:type="dxa"/>
          </w:tblCellMar>
        </w:tblPrEx>
        <w:trPr>
          <w:trHeight w:val="646" w:hRule="exact"/>
          <w:jc w:val="center"/>
        </w:trPr>
        <w:tc>
          <w:tcPr>
            <w:tcW w:w="4269" w:type="dxa"/>
            <w:noWrap w:val="0"/>
            <w:vAlign w:val="center"/>
          </w:tcPr>
          <w:p w14:paraId="3FE5FE0D">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电话：</w:t>
            </w:r>
          </w:p>
        </w:tc>
        <w:tc>
          <w:tcPr>
            <w:tcW w:w="4270" w:type="dxa"/>
            <w:noWrap w:val="0"/>
            <w:vAlign w:val="center"/>
          </w:tcPr>
          <w:p w14:paraId="62CD20C7">
            <w:pPr>
              <w:autoSpaceDE w:val="0"/>
              <w:autoSpaceDN w:val="0"/>
              <w:adjustRightInd w:val="0"/>
              <w:snapToGrid w:val="0"/>
              <w:spacing w:line="576" w:lineRule="exact"/>
              <w:ind w:left="840" w:hanging="840" w:hangingChars="300"/>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电话：</w:t>
            </w:r>
          </w:p>
        </w:tc>
      </w:tr>
      <w:tr w14:paraId="43CF1C11">
        <w:tblPrEx>
          <w:tblCellMar>
            <w:top w:w="0" w:type="dxa"/>
            <w:left w:w="108" w:type="dxa"/>
            <w:bottom w:w="0" w:type="dxa"/>
            <w:right w:w="108" w:type="dxa"/>
          </w:tblCellMar>
        </w:tblPrEx>
        <w:trPr>
          <w:trHeight w:val="646" w:hRule="exact"/>
          <w:jc w:val="center"/>
        </w:trPr>
        <w:tc>
          <w:tcPr>
            <w:tcW w:w="4269" w:type="dxa"/>
            <w:noWrap w:val="0"/>
            <w:vAlign w:val="center"/>
          </w:tcPr>
          <w:p w14:paraId="4D5A91A7">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传真：</w:t>
            </w:r>
          </w:p>
        </w:tc>
        <w:tc>
          <w:tcPr>
            <w:tcW w:w="4270" w:type="dxa"/>
            <w:noWrap w:val="0"/>
            <w:vAlign w:val="center"/>
          </w:tcPr>
          <w:p w14:paraId="7CC90D80">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传真：</w:t>
            </w:r>
          </w:p>
        </w:tc>
      </w:tr>
      <w:tr w14:paraId="7F3221A2">
        <w:tblPrEx>
          <w:tblCellMar>
            <w:top w:w="0" w:type="dxa"/>
            <w:left w:w="108" w:type="dxa"/>
            <w:bottom w:w="0" w:type="dxa"/>
            <w:right w:w="108" w:type="dxa"/>
          </w:tblCellMar>
        </w:tblPrEx>
        <w:trPr>
          <w:trHeight w:val="646" w:hRule="exact"/>
          <w:jc w:val="center"/>
        </w:trPr>
        <w:tc>
          <w:tcPr>
            <w:tcW w:w="4269" w:type="dxa"/>
            <w:noWrap w:val="0"/>
            <w:vAlign w:val="center"/>
          </w:tcPr>
          <w:p w14:paraId="4AE99F37">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开户银行：</w:t>
            </w:r>
          </w:p>
        </w:tc>
        <w:tc>
          <w:tcPr>
            <w:tcW w:w="4270" w:type="dxa"/>
            <w:noWrap w:val="0"/>
            <w:vAlign w:val="center"/>
          </w:tcPr>
          <w:p w14:paraId="767DFC3A">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开户银行：</w:t>
            </w:r>
          </w:p>
        </w:tc>
      </w:tr>
      <w:tr w14:paraId="27946040">
        <w:tblPrEx>
          <w:tblCellMar>
            <w:top w:w="0" w:type="dxa"/>
            <w:left w:w="108" w:type="dxa"/>
            <w:bottom w:w="0" w:type="dxa"/>
            <w:right w:w="108" w:type="dxa"/>
          </w:tblCellMar>
        </w:tblPrEx>
        <w:trPr>
          <w:trHeight w:val="646" w:hRule="exact"/>
          <w:jc w:val="center"/>
        </w:trPr>
        <w:tc>
          <w:tcPr>
            <w:tcW w:w="4269" w:type="dxa"/>
            <w:noWrap w:val="0"/>
            <w:vAlign w:val="center"/>
          </w:tcPr>
          <w:p w14:paraId="744D0A57">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日期：</w:t>
            </w:r>
          </w:p>
        </w:tc>
        <w:tc>
          <w:tcPr>
            <w:tcW w:w="4270" w:type="dxa"/>
            <w:noWrap w:val="0"/>
            <w:vAlign w:val="center"/>
          </w:tcPr>
          <w:p w14:paraId="44402B33">
            <w:pPr>
              <w:autoSpaceDE w:val="0"/>
              <w:autoSpaceDN w:val="0"/>
              <w:adjustRightInd w:val="0"/>
              <w:snapToGrid w:val="0"/>
              <w:spacing w:line="576" w:lineRule="exact"/>
              <w:rPr>
                <w:rFonts w:hint="eastAsia" w:ascii="仿宋_GB2312" w:hAnsi="宋体" w:eastAsia="仿宋_GB2312"/>
                <w:spacing w:val="-20"/>
                <w:kern w:val="0"/>
                <w:sz w:val="32"/>
                <w:szCs w:val="32"/>
              </w:rPr>
            </w:pPr>
            <w:r>
              <w:rPr>
                <w:rFonts w:hint="eastAsia" w:ascii="仿宋_GB2312" w:hAnsi="宋体" w:eastAsia="仿宋_GB2312"/>
                <w:spacing w:val="-20"/>
                <w:kern w:val="0"/>
                <w:sz w:val="32"/>
                <w:szCs w:val="32"/>
              </w:rPr>
              <w:t>日期：</w:t>
            </w:r>
          </w:p>
        </w:tc>
      </w:tr>
    </w:tbl>
    <w:p w14:paraId="1933FFD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154B94"/>
    <w:rsid w:val="66154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2026-03-20T08:10:00Z</dcterms:created>
  <dc:creator>超级刀刀贼</dc:creator>
  <cp:lastModifiedBy>超级刀刀贼</cp:lastModifiedBy>
  <dcterms:modified xsi:type="dcterms:W3CDTF">2026-03-20T08:14:39Z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484528B1D4854FAF8E23754E2FA2F36D_11</vt:lpwstr>
  </property>
  <property fmtid="{D5CDD505-2E9C-101B-9397-08002B2CF9AE}" pid="4" name="KSOTemplateDocerSaveRecord">
    <vt:lpwstr>eyJoZGlkIjoiOGRmMDkwZWRkOGYzYzY3OTJkMTI2NGE5MTYzNDEzMjYiLCJ1c2VySWQiOiIyNzk1NDI0NDcifQ==</vt:lpwstr>
  </property>
</Properties>
</file>