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D23AB">
      <w:pPr>
        <w:pStyle w:val="2"/>
        <w:keepNext w:val="0"/>
        <w:keepLines w:val="0"/>
        <w:rPr>
          <w:rFonts w:hint="eastAsia" w:ascii="仿宋" w:hAnsi="仿宋" w:eastAsia="仿宋" w:cs="仿宋"/>
          <w:highlight w:val="none"/>
        </w:rPr>
      </w:pPr>
      <w:r>
        <w:rPr>
          <w:rFonts w:hint="eastAsia" w:ascii="仿宋" w:hAnsi="仿宋" w:eastAsia="仿宋" w:cs="仿宋"/>
          <w:sz w:val="32"/>
          <w:szCs w:val="32"/>
          <w:highlight w:val="none"/>
        </w:rPr>
        <w:t>合同范本（仅供参考）</w:t>
      </w:r>
    </w:p>
    <w:p w14:paraId="2B545DD7">
      <w:pPr>
        <w:spacing w:line="360" w:lineRule="auto"/>
        <w:ind w:firstLine="482" w:firstLineChars="200"/>
        <w:rPr>
          <w:rFonts w:hint="eastAsia" w:ascii="仿宋" w:hAnsi="仿宋" w:eastAsia="仿宋" w:cs="仿宋"/>
          <w:sz w:val="24"/>
        </w:rPr>
      </w:pPr>
      <w:r>
        <w:rPr>
          <w:rFonts w:hint="eastAsia" w:ascii="仿宋" w:hAnsi="仿宋" w:eastAsia="仿宋" w:cs="仿宋"/>
          <w:b/>
          <w:color w:val="FF0000"/>
          <w:sz w:val="24"/>
          <w:highlight w:val="none"/>
        </w:rPr>
        <w:t xml:space="preserve"> </w:t>
      </w:r>
      <w:r>
        <w:rPr>
          <w:rFonts w:hint="eastAsia" w:ascii="宋体" w:hAnsi="宋体"/>
          <w:b/>
          <w:color w:val="FF0000"/>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（以下简称甲方）</w:t>
      </w:r>
      <w:r>
        <w:rPr>
          <w:rFonts w:hint="eastAsia" w:ascii="仿宋" w:hAnsi="仿宋" w:eastAsia="仿宋" w:cs="仿宋"/>
          <w:sz w:val="24"/>
          <w:u w:val="single"/>
        </w:rPr>
        <w:t xml:space="preserve">         </w:t>
      </w:r>
      <w:r>
        <w:rPr>
          <w:rFonts w:hint="eastAsia" w:ascii="仿宋" w:hAnsi="仿宋" w:eastAsia="仿宋" w:cs="仿宋"/>
          <w:sz w:val="24"/>
        </w:rPr>
        <w:t>采购，在</w:t>
      </w:r>
      <w:r>
        <w:rPr>
          <w:rFonts w:hint="eastAsia" w:ascii="仿宋" w:hAnsi="仿宋" w:eastAsia="仿宋" w:cs="仿宋"/>
          <w:sz w:val="24"/>
          <w:u w:val="single"/>
          <w:lang w:val="en-US" w:eastAsia="zh-CN"/>
        </w:rPr>
        <w:t>蒲城县残疾人联合会</w:t>
      </w:r>
      <w:r>
        <w:rPr>
          <w:rFonts w:hint="eastAsia" w:ascii="仿宋" w:hAnsi="仿宋" w:eastAsia="仿宋" w:cs="仿宋"/>
          <w:sz w:val="24"/>
        </w:rPr>
        <w:t>的监督管理下，由</w:t>
      </w:r>
      <w:r>
        <w:rPr>
          <w:rFonts w:hint="eastAsia" w:ascii="仿宋" w:hAnsi="仿宋" w:eastAsia="仿宋" w:cs="仿宋"/>
          <w:sz w:val="24"/>
          <w:u w:val="single"/>
        </w:rPr>
        <w:t>陕西开源招标有限公司</w:t>
      </w:r>
      <w:r>
        <w:rPr>
          <w:rFonts w:hint="eastAsia" w:ascii="仿宋" w:hAnsi="仿宋" w:eastAsia="仿宋" w:cs="仿宋"/>
          <w:sz w:val="24"/>
        </w:rPr>
        <w:t>组织采购，选定</w:t>
      </w:r>
      <w:r>
        <w:rPr>
          <w:rFonts w:hint="eastAsia" w:ascii="仿宋" w:hAnsi="仿宋" w:eastAsia="仿宋" w:cs="仿宋"/>
          <w:sz w:val="24"/>
          <w:u w:val="single"/>
        </w:rPr>
        <w:t xml:space="preserve">         </w:t>
      </w:r>
      <w:r>
        <w:rPr>
          <w:rFonts w:hint="eastAsia" w:ascii="仿宋" w:hAnsi="仿宋" w:eastAsia="仿宋" w:cs="仿宋"/>
          <w:sz w:val="24"/>
        </w:rPr>
        <w:t xml:space="preserve"> (以下简称乙方）为该项目成交供应商。依据《中华人民共和国民法典》和《中华人民共和国政府采购法》，经甲、乙双方共同协商，按下述条款和条</w:t>
      </w:r>
      <w:r>
        <w:rPr>
          <w:rFonts w:hint="eastAsia" w:ascii="仿宋" w:hAnsi="仿宋" w:eastAsia="仿宋" w:cs="仿宋"/>
          <w:sz w:val="24"/>
          <w:lang w:val="en-US" w:eastAsia="zh-CN"/>
        </w:rPr>
        <w:t xml:space="preserve"> </w:t>
      </w:r>
      <w:r>
        <w:rPr>
          <w:rFonts w:hint="eastAsia" w:ascii="仿宋" w:hAnsi="仿宋" w:eastAsia="仿宋" w:cs="仿宋"/>
          <w:sz w:val="24"/>
        </w:rPr>
        <w:t>件签署本合同。</w:t>
      </w:r>
    </w:p>
    <w:p w14:paraId="65D94607">
      <w:pPr>
        <w:spacing w:line="360" w:lineRule="auto"/>
        <w:jc w:val="left"/>
        <w:rPr>
          <w:rFonts w:hint="eastAsia" w:ascii="仿宋" w:hAnsi="仿宋" w:eastAsia="仿宋" w:cs="仿宋"/>
          <w:b/>
          <w:sz w:val="24"/>
        </w:rPr>
      </w:pPr>
      <w:r>
        <w:rPr>
          <w:rFonts w:hint="eastAsia" w:ascii="仿宋" w:hAnsi="仿宋" w:eastAsia="仿宋" w:cs="仿宋"/>
          <w:b/>
          <w:sz w:val="24"/>
        </w:rPr>
        <w:t>一、合同内容</w:t>
      </w:r>
    </w:p>
    <w:p w14:paraId="3383FC13">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rPr>
        <w:t xml:space="preserve"> </w:t>
      </w:r>
      <w:r>
        <w:rPr>
          <w:rFonts w:hint="eastAsia" w:ascii="仿宋" w:hAnsi="仿宋" w:eastAsia="仿宋" w:cs="仿宋"/>
          <w:sz w:val="24"/>
          <w:lang w:val="en-US" w:eastAsia="zh-CN"/>
        </w:rPr>
        <w:t>1.</w:t>
      </w:r>
      <w:r>
        <w:rPr>
          <w:rFonts w:hint="eastAsia" w:ascii="仿宋" w:hAnsi="仿宋" w:eastAsia="仿宋" w:cs="仿宋"/>
          <w:sz w:val="24"/>
        </w:rPr>
        <w:t>培训任务</w:t>
      </w:r>
      <w:r>
        <w:rPr>
          <w:rFonts w:hint="eastAsia" w:ascii="仿宋" w:hAnsi="仿宋" w:eastAsia="仿宋" w:cs="仿宋"/>
          <w:sz w:val="24"/>
          <w:lang w:eastAsia="zh-CN"/>
        </w:rPr>
        <w:t>：乙方须完成甲方指定的残疾人残疾人职业技能和实用技术培训</w:t>
      </w:r>
      <w:r>
        <w:rPr>
          <w:rFonts w:hint="eastAsia" w:ascii="仿宋" w:hAnsi="仿宋" w:eastAsia="仿宋" w:cs="仿宋"/>
          <w:sz w:val="24"/>
          <w:lang w:val="en-US" w:eastAsia="zh-CN"/>
        </w:rPr>
        <w:t>服务。共计** 人</w:t>
      </w:r>
    </w:p>
    <w:p w14:paraId="1E625515">
      <w:pPr>
        <w:spacing w:line="360" w:lineRule="auto"/>
        <w:ind w:firstLine="480" w:firstLineChars="200"/>
        <w:jc w:val="left"/>
        <w:rPr>
          <w:rFonts w:hint="eastAsia" w:ascii="仿宋" w:hAnsi="仿宋" w:eastAsia="仿宋" w:cs="仿宋"/>
          <w:sz w:val="24"/>
          <w:lang w:eastAsia="zh-CN"/>
        </w:rPr>
      </w:pPr>
      <w:r>
        <w:rPr>
          <w:rFonts w:hint="eastAsia" w:ascii="仿宋" w:hAnsi="仿宋" w:eastAsia="仿宋" w:cs="仿宋"/>
          <w:sz w:val="24"/>
          <w:lang w:val="en-US" w:eastAsia="zh-CN"/>
        </w:rPr>
        <w:t>2.培训内容及标准需符合采购人及招标文件要求。确保培训对象通过培训，能够初步了解并掌握</w:t>
      </w:r>
      <w:r>
        <w:rPr>
          <w:rFonts w:hint="eastAsia" w:ascii="仿宋" w:hAnsi="仿宋" w:eastAsia="仿宋" w:cs="仿宋"/>
          <w:sz w:val="24"/>
          <w:lang w:eastAsia="zh-CN"/>
        </w:rPr>
        <w:t>职业技能和实用技术。</w:t>
      </w:r>
    </w:p>
    <w:p w14:paraId="2D30858B">
      <w:pPr>
        <w:spacing w:line="360" w:lineRule="auto"/>
        <w:ind w:firstLine="480" w:firstLineChars="200"/>
        <w:jc w:val="left"/>
        <w:rPr>
          <w:rFonts w:hint="default" w:ascii="仿宋" w:hAnsi="仿宋" w:eastAsia="仿宋" w:cs="仿宋"/>
          <w:sz w:val="24"/>
          <w:lang w:val="en-US" w:eastAsia="zh-CN"/>
        </w:rPr>
      </w:pPr>
      <w:r>
        <w:rPr>
          <w:rFonts w:hint="eastAsia" w:ascii="仿宋" w:hAnsi="仿宋" w:eastAsia="仿宋" w:cs="仿宋"/>
          <w:sz w:val="24"/>
          <w:lang w:val="en-US" w:eastAsia="zh-CN"/>
        </w:rPr>
        <w:t>3.培训时间：每期培训时长不少于 [具体天数/学时] </w:t>
      </w:r>
    </w:p>
    <w:p w14:paraId="22E81BB4">
      <w:pPr>
        <w:spacing w:line="360" w:lineRule="auto"/>
        <w:jc w:val="left"/>
        <w:rPr>
          <w:rFonts w:hint="eastAsia" w:ascii="仿宋" w:hAnsi="仿宋" w:eastAsia="仿宋" w:cs="仿宋"/>
          <w:b/>
          <w:sz w:val="24"/>
        </w:rPr>
      </w:pPr>
      <w:r>
        <w:rPr>
          <w:rFonts w:hint="eastAsia" w:ascii="仿宋" w:hAnsi="仿宋" w:eastAsia="仿宋" w:cs="仿宋"/>
          <w:b/>
          <w:sz w:val="24"/>
        </w:rPr>
        <w:t>二、合同价格</w:t>
      </w:r>
    </w:p>
    <w:p w14:paraId="0628B2D6">
      <w:pPr>
        <w:spacing w:line="360" w:lineRule="auto"/>
        <w:ind w:left="420" w:leftChars="200"/>
        <w:jc w:val="left"/>
        <w:rPr>
          <w:rFonts w:hint="eastAsia" w:ascii="仿宋" w:hAnsi="仿宋" w:eastAsia="仿宋" w:cs="仿宋"/>
          <w:color w:val="000000"/>
          <w:sz w:val="24"/>
          <w:u w:val="single"/>
        </w:rPr>
      </w:pPr>
      <w:r>
        <w:rPr>
          <w:rFonts w:hint="eastAsia" w:ascii="仿宋" w:hAnsi="仿宋" w:eastAsia="仿宋" w:cs="仿宋"/>
          <w:sz w:val="24"/>
        </w:rPr>
        <w:t>合同总价：</w:t>
      </w:r>
      <w:r>
        <w:rPr>
          <w:rFonts w:hint="eastAsia" w:ascii="仿宋" w:hAnsi="仿宋" w:eastAsia="仿宋" w:cs="仿宋"/>
          <w:color w:val="000000"/>
          <w:sz w:val="24"/>
          <w:u w:val="single"/>
        </w:rPr>
        <w:t xml:space="preserve">人民币       元整（¥         元） </w:t>
      </w:r>
    </w:p>
    <w:p w14:paraId="0AF3D81A">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此价格为含税全包价，包含培训费、资料费、师资费、场地费、学员食宿补贴（如有）等完成本项目所需的一切费用。</w:t>
      </w:r>
    </w:p>
    <w:p w14:paraId="124D7186">
      <w:pPr>
        <w:spacing w:line="360" w:lineRule="auto"/>
        <w:jc w:val="left"/>
        <w:rPr>
          <w:rFonts w:hint="eastAsia" w:ascii="仿宋" w:hAnsi="仿宋" w:eastAsia="仿宋" w:cs="仿宋"/>
          <w:b/>
          <w:sz w:val="24"/>
        </w:rPr>
      </w:pPr>
      <w:r>
        <w:rPr>
          <w:rFonts w:hint="eastAsia" w:ascii="仿宋" w:hAnsi="仿宋" w:eastAsia="仿宋" w:cs="仿宋"/>
          <w:b/>
          <w:sz w:val="24"/>
        </w:rPr>
        <w:t>三、合同款项支付</w:t>
      </w:r>
    </w:p>
    <w:p w14:paraId="5794AC8C">
      <w:pPr>
        <w:tabs>
          <w:tab w:val="left" w:pos="840"/>
        </w:tabs>
        <w:spacing w:line="440" w:lineRule="exact"/>
        <w:ind w:firstLine="566" w:firstLineChars="236"/>
        <w:rPr>
          <w:rFonts w:hint="eastAsia" w:ascii="仿宋" w:hAnsi="仿宋" w:eastAsia="仿宋" w:cs="仿宋"/>
          <w:color w:val="FF0000"/>
          <w:sz w:val="24"/>
        </w:rPr>
      </w:pPr>
      <w:r>
        <w:rPr>
          <w:rFonts w:hint="eastAsia" w:ascii="仿宋" w:hAnsi="仿宋" w:eastAsia="仿宋" w:cs="仿宋"/>
          <w:sz w:val="24"/>
        </w:rPr>
        <w:t>1、结算单位：采购人结算，在付款前，必须开具全额发票给采购人。</w:t>
      </w:r>
    </w:p>
    <w:p w14:paraId="280178E1">
      <w:pPr>
        <w:spacing w:line="440" w:lineRule="exact"/>
        <w:ind w:firstLine="566" w:firstLineChars="236"/>
        <w:rPr>
          <w:rFonts w:hint="eastAsia" w:ascii="仿宋" w:hAnsi="仿宋" w:eastAsia="仿宋" w:cs="仿宋"/>
          <w:sz w:val="24"/>
        </w:rPr>
      </w:pPr>
      <w:r>
        <w:rPr>
          <w:rFonts w:hint="eastAsia" w:ascii="仿宋" w:hAnsi="仿宋" w:eastAsia="仿宋" w:cs="仿宋"/>
          <w:sz w:val="24"/>
        </w:rPr>
        <w:t>2、付款方式：</w:t>
      </w:r>
      <w:r>
        <w:rPr>
          <w:rFonts w:hint="eastAsia" w:ascii="仿宋" w:hAnsi="仿宋" w:eastAsia="仿宋" w:cs="仿宋"/>
          <w:bCs/>
          <w:sz w:val="24"/>
        </w:rPr>
        <w:t>（此处填写内容应与响应文件一致）</w:t>
      </w:r>
    </w:p>
    <w:p w14:paraId="3C158735">
      <w:pPr>
        <w:spacing w:line="360" w:lineRule="auto"/>
        <w:jc w:val="left"/>
        <w:rPr>
          <w:rFonts w:hint="eastAsia" w:ascii="仿宋" w:hAnsi="仿宋" w:eastAsia="仿宋" w:cs="仿宋"/>
          <w:b/>
          <w:sz w:val="24"/>
        </w:rPr>
      </w:pPr>
      <w:r>
        <w:rPr>
          <w:rFonts w:hint="eastAsia" w:ascii="仿宋" w:hAnsi="仿宋" w:eastAsia="仿宋" w:cs="仿宋"/>
          <w:b/>
          <w:sz w:val="24"/>
        </w:rPr>
        <w:t>四、服务条件</w:t>
      </w:r>
    </w:p>
    <w:p w14:paraId="2E4C758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（一）项目实施地点：采购人指定地点。</w:t>
      </w:r>
    </w:p>
    <w:p w14:paraId="7BAEE87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（二）服务期：</w:t>
      </w:r>
      <w:r>
        <w:rPr>
          <w:rFonts w:hint="eastAsia" w:ascii="仿宋" w:hAnsi="仿宋" w:eastAsia="仿宋" w:cs="仿宋"/>
          <w:bCs/>
          <w:sz w:val="24"/>
        </w:rPr>
        <w:t>（此处填写内容应与响应文件一致）</w:t>
      </w:r>
    </w:p>
    <w:p w14:paraId="42A748F7">
      <w:pPr>
        <w:spacing w:line="360" w:lineRule="auto"/>
        <w:jc w:val="left"/>
        <w:rPr>
          <w:rFonts w:hint="eastAsia" w:ascii="仿宋" w:hAnsi="仿宋" w:eastAsia="仿宋" w:cs="仿宋"/>
          <w:b/>
          <w:sz w:val="24"/>
        </w:rPr>
      </w:pPr>
      <w:r>
        <w:rPr>
          <w:rFonts w:hint="eastAsia" w:ascii="仿宋" w:hAnsi="仿宋" w:eastAsia="仿宋" w:cs="仿宋"/>
          <w:b/>
          <w:sz w:val="24"/>
        </w:rPr>
        <w:t>五、违约责任</w:t>
      </w:r>
    </w:p>
    <w:p w14:paraId="25C219F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（一）按《中华人民共和国民法典》中的相关条款执行。</w:t>
      </w:r>
    </w:p>
    <w:p w14:paraId="2061152D">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（二）未按合同要求提供</w:t>
      </w:r>
      <w:r>
        <w:rPr>
          <w:rFonts w:hint="eastAsia" w:ascii="仿宋" w:hAnsi="仿宋" w:eastAsia="仿宋" w:cs="仿宋"/>
          <w:sz w:val="24"/>
          <w:lang w:val="en-US" w:eastAsia="zh-CN"/>
        </w:rPr>
        <w:t>服务</w:t>
      </w:r>
      <w:r>
        <w:rPr>
          <w:rFonts w:hint="eastAsia" w:ascii="仿宋" w:hAnsi="仿宋" w:eastAsia="仿宋" w:cs="仿宋"/>
          <w:sz w:val="24"/>
        </w:rPr>
        <w:t>或</w:t>
      </w:r>
      <w:r>
        <w:rPr>
          <w:rFonts w:hint="eastAsia" w:ascii="仿宋" w:hAnsi="仿宋" w:eastAsia="仿宋" w:cs="仿宋"/>
          <w:sz w:val="24"/>
          <w:lang w:val="en-US" w:eastAsia="zh-CN"/>
        </w:rPr>
        <w:t>服务</w:t>
      </w:r>
      <w:r>
        <w:rPr>
          <w:rFonts w:hint="eastAsia" w:ascii="仿宋" w:hAnsi="仿宋" w:eastAsia="仿宋" w:cs="仿宋"/>
          <w:sz w:val="24"/>
        </w:rPr>
        <w:t>质量不能满足技术要求，采购人有权终止合同，甚至对供方违约行为进行追究。</w:t>
      </w:r>
    </w:p>
    <w:p w14:paraId="7D64C21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（三）如有纠纷，双方友好协商解决，协商不成时可诉讼到甲方所在地人民法院解决。</w:t>
      </w:r>
    </w:p>
    <w:p w14:paraId="5759A0A3">
      <w:pPr>
        <w:spacing w:line="360" w:lineRule="auto"/>
        <w:jc w:val="left"/>
        <w:rPr>
          <w:rFonts w:hint="eastAsia" w:ascii="仿宋" w:hAnsi="仿宋" w:eastAsia="仿宋" w:cs="仿宋"/>
          <w:b/>
          <w:sz w:val="24"/>
        </w:rPr>
      </w:pPr>
      <w:r>
        <w:rPr>
          <w:rFonts w:hint="eastAsia" w:ascii="仿宋" w:hAnsi="仿宋" w:eastAsia="仿宋" w:cs="仿宋"/>
          <w:b/>
          <w:sz w:val="24"/>
          <w:lang w:val="en-US" w:eastAsia="zh-CN"/>
        </w:rPr>
        <w:t>六</w:t>
      </w:r>
      <w:r>
        <w:rPr>
          <w:rFonts w:hint="eastAsia" w:ascii="仿宋" w:hAnsi="仿宋" w:eastAsia="仿宋" w:cs="仿宋"/>
          <w:b/>
          <w:sz w:val="24"/>
        </w:rPr>
        <w:t>、验收</w:t>
      </w:r>
    </w:p>
    <w:p w14:paraId="44B6FD3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项目达到使用条件时由采购人负责组织验收或者邀请有关专家进行验收,验收费用由成交供应商支付；验收合格须交接项目实施的全部资料，并填写政府采购项目验收报告单。验收须以合同、磋商文件及响应文件、澄清、及国家相应的标准、规范等为依据。</w:t>
      </w:r>
    </w:p>
    <w:p w14:paraId="6954F8A6">
      <w:pPr>
        <w:spacing w:line="360" w:lineRule="auto"/>
        <w:jc w:val="left"/>
        <w:rPr>
          <w:rFonts w:hint="eastAsia" w:ascii="仿宋" w:hAnsi="仿宋" w:eastAsia="仿宋" w:cs="仿宋"/>
          <w:b/>
          <w:sz w:val="24"/>
        </w:rPr>
      </w:pPr>
      <w:r>
        <w:rPr>
          <w:rFonts w:hint="eastAsia" w:ascii="仿宋" w:hAnsi="仿宋" w:eastAsia="仿宋" w:cs="仿宋"/>
          <w:b/>
          <w:sz w:val="24"/>
          <w:lang w:val="en-US" w:eastAsia="zh-CN"/>
        </w:rPr>
        <w:t>七</w:t>
      </w:r>
      <w:r>
        <w:rPr>
          <w:rFonts w:hint="eastAsia" w:ascii="仿宋" w:hAnsi="仿宋" w:eastAsia="仿宋" w:cs="仿宋"/>
          <w:b/>
          <w:sz w:val="24"/>
        </w:rPr>
        <w:t>、其他事项</w:t>
      </w:r>
    </w:p>
    <w:p w14:paraId="2991A3E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（一）蒲城县残疾人联合会在合同的履行期间以及履行期后，可以随时检查项目的执行情况，对采购标准、采购内容进行调查核实，并对发现的问题进行处理。</w:t>
      </w:r>
    </w:p>
    <w:p w14:paraId="2BFE914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（二）本合同一式六份，甲方</w:t>
      </w:r>
      <w:r>
        <w:rPr>
          <w:rFonts w:hint="eastAsia" w:ascii="仿宋" w:hAnsi="仿宋" w:eastAsia="仿宋" w:cs="仿宋"/>
          <w:sz w:val="24"/>
          <w:u w:val="single"/>
        </w:rPr>
        <w:t xml:space="preserve">         </w:t>
      </w:r>
      <w:r>
        <w:rPr>
          <w:rFonts w:hint="eastAsia" w:ascii="仿宋" w:hAnsi="仿宋" w:eastAsia="仿宋" w:cs="仿宋"/>
          <w:sz w:val="24"/>
        </w:rPr>
        <w:t>四份，乙方</w:t>
      </w:r>
      <w:r>
        <w:rPr>
          <w:rFonts w:hint="eastAsia" w:ascii="仿宋" w:hAnsi="仿宋" w:eastAsia="仿宋" w:cs="仿宋"/>
          <w:sz w:val="24"/>
          <w:u w:val="single"/>
        </w:rPr>
        <w:t xml:space="preserve">              </w:t>
      </w:r>
      <w:r>
        <w:rPr>
          <w:rFonts w:hint="eastAsia" w:ascii="仿宋" w:hAnsi="仿宋" w:eastAsia="仿宋" w:cs="仿宋"/>
          <w:sz w:val="24"/>
        </w:rPr>
        <w:t>一份，采购代理机构一份，甲乙双方签字盖章后生效。</w:t>
      </w:r>
    </w:p>
    <w:p w14:paraId="3E2722C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（三）</w:t>
      </w:r>
      <w:r>
        <w:rPr>
          <w:rFonts w:hint="eastAsia" w:ascii="仿宋" w:hAnsi="仿宋" w:eastAsia="仿宋" w:cs="仿宋"/>
          <w:bCs/>
          <w:sz w:val="24"/>
        </w:rPr>
        <w:t>磋商文件、响应文件也是合同的组成部分，合同中未约定的以磋商文件、响应文件为准。</w:t>
      </w:r>
    </w:p>
    <w:p w14:paraId="036801A2">
      <w:pPr>
        <w:spacing w:line="360" w:lineRule="auto"/>
        <w:ind w:firstLine="600" w:firstLineChars="250"/>
        <w:jc w:val="left"/>
        <w:rPr>
          <w:rFonts w:hint="eastAsia" w:ascii="仿宋" w:hAnsi="仿宋" w:eastAsia="仿宋" w:cs="仿宋"/>
          <w:sz w:val="24"/>
        </w:rPr>
      </w:pPr>
      <w:r>
        <w:rPr>
          <w:rFonts w:hint="eastAsia" w:ascii="仿宋" w:hAnsi="仿宋" w:eastAsia="仿宋" w:cs="仿宋"/>
          <w:sz w:val="24"/>
        </w:rPr>
        <w:t xml:space="preserve">合同签订地点：   </w:t>
      </w:r>
    </w:p>
    <w:p w14:paraId="28043C5A">
      <w:pPr>
        <w:spacing w:line="360" w:lineRule="auto"/>
        <w:ind w:firstLine="600" w:firstLineChars="250"/>
        <w:jc w:val="left"/>
        <w:rPr>
          <w:rFonts w:hint="eastAsia" w:ascii="仿宋" w:hAnsi="仿宋" w:eastAsia="仿宋" w:cs="仿宋"/>
          <w:sz w:val="24"/>
        </w:rPr>
      </w:pPr>
      <w:r>
        <w:rPr>
          <w:rFonts w:hint="eastAsia" w:ascii="仿宋" w:hAnsi="仿宋" w:eastAsia="仿宋" w:cs="仿宋"/>
          <w:sz w:val="24"/>
        </w:rPr>
        <w:t>合同签订时间：    年   月    日</w:t>
      </w:r>
    </w:p>
    <w:p w14:paraId="58CCCE61">
      <w:pPr>
        <w:spacing w:line="360" w:lineRule="auto"/>
        <w:jc w:val="left"/>
        <w:rPr>
          <w:rFonts w:hint="eastAsia" w:ascii="仿宋" w:hAnsi="仿宋" w:eastAsia="仿宋" w:cs="仿宋"/>
          <w:sz w:val="24"/>
        </w:rPr>
      </w:pPr>
    </w:p>
    <w:p w14:paraId="774487B0">
      <w:pPr>
        <w:spacing w:line="360" w:lineRule="auto"/>
        <w:jc w:val="left"/>
        <w:rPr>
          <w:rFonts w:hint="eastAsia" w:ascii="仿宋" w:hAnsi="仿宋" w:eastAsia="仿宋" w:cs="仿宋"/>
          <w:sz w:val="24"/>
        </w:rPr>
      </w:pPr>
      <w:r>
        <w:rPr>
          <w:rFonts w:hint="eastAsia" w:ascii="仿宋" w:hAnsi="仿宋" w:eastAsia="仿宋" w:cs="仿宋"/>
          <w:sz w:val="24"/>
        </w:rPr>
        <w:t>甲    方                           乙    方</w:t>
      </w:r>
    </w:p>
    <w:p w14:paraId="2FAA6186">
      <w:pPr>
        <w:spacing w:line="360" w:lineRule="auto"/>
        <w:jc w:val="left"/>
        <w:rPr>
          <w:rFonts w:hint="eastAsia" w:ascii="仿宋" w:hAnsi="仿宋" w:eastAsia="仿宋" w:cs="仿宋"/>
          <w:sz w:val="24"/>
        </w:rPr>
      </w:pPr>
      <w:r>
        <w:rPr>
          <w:rFonts w:hint="eastAsia" w:ascii="仿宋" w:hAnsi="仿宋" w:eastAsia="仿宋" w:cs="仿宋"/>
          <w:sz w:val="24"/>
        </w:rPr>
        <w:t xml:space="preserve">单位名称：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单位名称： </w:t>
      </w:r>
    </w:p>
    <w:p w14:paraId="1D06060A">
      <w:pPr>
        <w:spacing w:line="360" w:lineRule="auto"/>
        <w:jc w:val="left"/>
        <w:rPr>
          <w:rFonts w:hint="eastAsia" w:ascii="仿宋" w:hAnsi="仿宋" w:eastAsia="仿宋" w:cs="仿宋"/>
          <w:sz w:val="24"/>
        </w:rPr>
      </w:pPr>
      <w:r>
        <w:rPr>
          <w:rFonts w:hint="eastAsia" w:ascii="仿宋" w:hAnsi="仿宋" w:eastAsia="仿宋" w:cs="仿宋"/>
          <w:sz w:val="24"/>
        </w:rPr>
        <w:t xml:space="preserve">地   址：  </w:t>
      </w:r>
      <w:r>
        <w:rPr>
          <w:rFonts w:hint="eastAsia" w:ascii="仿宋" w:hAnsi="仿宋" w:eastAsia="仿宋" w:cs="仿宋"/>
          <w:sz w:val="24"/>
        </w:rPr>
        <w:tab/>
      </w:r>
      <w:r>
        <w:rPr>
          <w:rFonts w:hint="eastAsia" w:ascii="仿宋" w:hAnsi="仿宋" w:eastAsia="仿宋" w:cs="仿宋"/>
          <w:sz w:val="24"/>
        </w:rPr>
        <w:t xml:space="preserve">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地    址：</w:t>
      </w:r>
    </w:p>
    <w:p w14:paraId="2B862701">
      <w:pPr>
        <w:spacing w:line="360" w:lineRule="auto"/>
        <w:jc w:val="left"/>
        <w:rPr>
          <w:rFonts w:hint="eastAsia" w:ascii="仿宋" w:hAnsi="仿宋" w:eastAsia="仿宋" w:cs="仿宋"/>
          <w:sz w:val="24"/>
        </w:rPr>
      </w:pPr>
    </w:p>
    <w:p w14:paraId="0FF90C2F">
      <w:pPr>
        <w:spacing w:line="360" w:lineRule="auto"/>
        <w:jc w:val="left"/>
        <w:rPr>
          <w:rFonts w:hint="eastAsia" w:ascii="仿宋" w:hAnsi="仿宋" w:eastAsia="仿宋" w:cs="仿宋"/>
          <w:sz w:val="24"/>
        </w:rPr>
      </w:pPr>
      <w:r>
        <w:rPr>
          <w:rFonts w:hint="eastAsia" w:ascii="仿宋" w:hAnsi="仿宋" w:eastAsia="仿宋" w:cs="仿宋"/>
          <w:sz w:val="24"/>
        </w:rPr>
        <w:t xml:space="preserve">法人代表：                         法人代表： </w:t>
      </w:r>
    </w:p>
    <w:p w14:paraId="02A9D5A7">
      <w:pPr>
        <w:spacing w:line="360" w:lineRule="auto"/>
        <w:jc w:val="left"/>
        <w:rPr>
          <w:rFonts w:hint="eastAsia" w:ascii="仿宋" w:hAnsi="仿宋" w:eastAsia="仿宋" w:cs="仿宋"/>
          <w:sz w:val="24"/>
        </w:rPr>
      </w:pPr>
    </w:p>
    <w:p w14:paraId="1EC717FB">
      <w:pPr>
        <w:spacing w:line="360" w:lineRule="auto"/>
        <w:jc w:val="left"/>
        <w:rPr>
          <w:rFonts w:hint="eastAsia" w:ascii="仿宋" w:hAnsi="仿宋" w:eastAsia="仿宋" w:cs="仿宋"/>
          <w:sz w:val="24"/>
        </w:rPr>
      </w:pPr>
      <w:r>
        <w:rPr>
          <w:rFonts w:hint="eastAsia" w:ascii="仿宋" w:hAnsi="仿宋" w:eastAsia="仿宋" w:cs="仿宋"/>
          <w:sz w:val="24"/>
        </w:rPr>
        <w:t xml:space="preserve">联系电话：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联系电话： </w:t>
      </w:r>
    </w:p>
    <w:p w14:paraId="38C57847">
      <w:pPr>
        <w:spacing w:line="360" w:lineRule="auto"/>
        <w:jc w:val="left"/>
        <w:rPr>
          <w:rFonts w:hint="eastAsia" w:ascii="仿宋" w:hAnsi="仿宋" w:eastAsia="仿宋" w:cs="仿宋"/>
          <w:sz w:val="24"/>
        </w:rPr>
      </w:pPr>
      <w:r>
        <w:rPr>
          <w:rFonts w:hint="eastAsia" w:ascii="仿宋" w:hAnsi="仿宋" w:eastAsia="仿宋" w:cs="仿宋"/>
          <w:sz w:val="24"/>
        </w:rPr>
        <w:t xml:space="preserve">开 户 行：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开 户 行： </w:t>
      </w:r>
    </w:p>
    <w:p w14:paraId="0CF8664E">
      <w:pPr>
        <w:spacing w:line="360" w:lineRule="auto"/>
        <w:jc w:val="left"/>
        <w:rPr>
          <w:rFonts w:hint="eastAsia" w:ascii="仿宋" w:hAnsi="仿宋" w:eastAsia="仿宋" w:cs="仿宋"/>
          <w:b/>
          <w:bCs/>
          <w:sz w:val="24"/>
        </w:rPr>
      </w:pPr>
      <w:r>
        <w:rPr>
          <w:rFonts w:hint="eastAsia" w:ascii="仿宋" w:hAnsi="仿宋" w:eastAsia="仿宋" w:cs="仿宋"/>
          <w:sz w:val="24"/>
        </w:rPr>
        <w:t xml:space="preserve">账    号：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w:t>
      </w:r>
      <w:r>
        <w:rPr>
          <w:rFonts w:hint="eastAsia" w:ascii="仿宋" w:hAnsi="仿宋" w:eastAsia="仿宋" w:cs="仿宋"/>
          <w:sz w:val="24"/>
        </w:rPr>
        <w:tab/>
      </w:r>
      <w:r>
        <w:rPr>
          <w:rFonts w:hint="eastAsia" w:ascii="仿宋" w:hAnsi="仿宋" w:eastAsia="仿宋" w:cs="仿宋"/>
          <w:sz w:val="24"/>
        </w:rPr>
        <w:t>账    号：</w:t>
      </w:r>
    </w:p>
    <w:p w14:paraId="2C85D537">
      <w:pPr>
        <w:spacing w:line="360" w:lineRule="auto"/>
        <w:rPr>
          <w:rFonts w:hint="eastAsia" w:ascii="仿宋" w:hAnsi="仿宋" w:eastAsia="仿宋" w:cs="仿宋"/>
          <w:sz w:val="24"/>
          <w:highlight w:val="none"/>
        </w:rPr>
      </w:pPr>
    </w:p>
    <w:p w14:paraId="3D89232C">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979DA">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9D1E96">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C9D1E96">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CE9C8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3FCE9C8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4F4539FC"/>
    <w:rsid w:val="53F37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footer"/>
    <w:basedOn w:val="1"/>
    <w:link w:val="10"/>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812</Words>
  <Characters>820</Characters>
  <Lines>11</Lines>
  <Paragraphs>3</Paragraphs>
  <TotalTime>0</TotalTime>
  <ScaleCrop>false</ScaleCrop>
  <LinksUpToDate>false</LinksUpToDate>
  <CharactersWithSpaces>1066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2026-03-30T08:29:58Z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