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版本号：RH采字【20260312】号20260401001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蒲城县2025-2035年高标准农田建设规划</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RH采字【20260312】号</w:t>
      </w:r>
      <w:r>
        <w:br/>
      </w:r>
      <w:r>
        <w:br/>
      </w:r>
      <w:r>
        <w:br/>
      </w:r>
    </w:p>
    <w:p>
      <w:pPr>
        <w:pStyle w:val="null3"/>
        <w:jc w:val="center"/>
        <w:outlineLvl w:val="2"/>
      </w:pPr>
      <w:r>
        <w:rPr>
          <w:rFonts w:ascii="仿宋_GB2312" w:hAnsi="仿宋_GB2312" w:cs="仿宋_GB2312" w:eastAsia="仿宋_GB2312"/>
          <w:sz w:val="28"/>
          <w:b/>
        </w:rPr>
        <w:t>蒲城县农业农村局</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蒲城县农业农村局</w:t>
      </w:r>
      <w:r>
        <w:rPr>
          <w:rFonts w:ascii="仿宋_GB2312" w:hAnsi="仿宋_GB2312" w:cs="仿宋_GB2312" w:eastAsia="仿宋_GB2312"/>
        </w:rPr>
        <w:t>委托，拟对</w:t>
      </w:r>
      <w:r>
        <w:rPr>
          <w:rFonts w:ascii="仿宋_GB2312" w:hAnsi="仿宋_GB2312" w:cs="仿宋_GB2312" w:eastAsia="仿宋_GB2312"/>
        </w:rPr>
        <w:t>蒲城县2025-2035年高标准农田建设规划</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RH采字【20260312】号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蒲城县2025-2035年高标准农田建设规划</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衔接陕西省、渭南市高标准农田建设规划总体部署，全面推进蒲城县高标准农田建设工作，科学划定建设分区、明确建设任务、以新建和改造并举新建为主，制定实施计划。按照《县级高标准农田建设规划编制规范》（NY/T4731-2025）要求，开展蒲城县2025-2035年高标准农田建设规划编制服务，规划编制工作包括基础资料收集与分析、实地调研、现状评估、建设潜力分析、规划方案编制、成果论证与修改完善等。编制符合规范的规划成果，包含规划文本、编制说明、规划图件、附表、附件五大类，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法人提供经审计的2024年度或2025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pPr>
        <w:pStyle w:val="null3"/>
      </w:pPr>
      <w:r>
        <w:rPr>
          <w:rFonts w:ascii="仿宋_GB2312" w:hAnsi="仿宋_GB2312" w:cs="仿宋_GB2312" w:eastAsia="仿宋_GB2312"/>
        </w:rPr>
        <w:t>3、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6、企业资质：供应商须具备工程设计综合资质或工程设计专业资质农林行业(农业工程或农业综合开发生态工程)设计行业乙级及以上或水利工程设计专业乙级及以上或土地规划乙级及以上资质；</w:t>
      </w:r>
    </w:p>
    <w:p>
      <w:pPr>
        <w:pStyle w:val="null3"/>
      </w:pPr>
      <w:r>
        <w:rPr>
          <w:rFonts w:ascii="仿宋_GB2312" w:hAnsi="仿宋_GB2312" w:cs="仿宋_GB2312" w:eastAsia="仿宋_GB2312"/>
        </w:rPr>
        <w:t>7、拟派项目负责人资质：拟派项目负责人须具备农业类或水利类相关专业中级及以上职称；</w:t>
      </w:r>
    </w:p>
    <w:p>
      <w:pPr>
        <w:pStyle w:val="null3"/>
      </w:pPr>
      <w:r>
        <w:rPr>
          <w:rFonts w:ascii="仿宋_GB2312" w:hAnsi="仿宋_GB2312" w:cs="仿宋_GB2312" w:eastAsia="仿宋_GB2312"/>
        </w:rPr>
        <w:t>8、声明函：本项目不接受联合体投标；单位负责人为同一人或者存在控股、管理关系的不同单位，不得参加同一项目的投标；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渭南市蒲城县城关街道延安路东段20号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0913-7212136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 刘菲、李瑜、张丰利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029-81213967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之前，向采购代理机构一次付清招标代理服务费。采购代理服务费的金额参照原计价格[2002]1980号文件、发改价格[2011]534号文件的规定，以中标价为基数,计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蒲城县农业农村局</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联系人：瑞恒项目管理有限公司招标部</w:t>
      </w:r>
    </w:p>
    <w:p>
      <w:pPr>
        <w:pStyle w:val="null3"/>
      </w:pPr>
      <w:r>
        <w:rPr>
          <w:rFonts w:ascii="仿宋_GB2312" w:hAnsi="仿宋_GB2312" w:cs="仿宋_GB2312" w:eastAsia="仿宋_GB2312"/>
        </w:rPr>
        <w:t>联系电话：029-81213967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衔接陕西省、渭南市高标准农田建设规划总体部署，全面推进蒲城县高标准农田建设工作，科学划定建设分区、明确建设任务、以新建和改造并举新建为主，制定实施计划。按照《县级高标准农田建设规划编制规范》（NY/T4731-2025）要求，开展蒲城县2025-2035年高标准农田建设规划编制服务，规划编制工作包括基础资料收集与分析、实地调研、现状评估、建设潜力分析、规划方案编制、成果论证与修改完善等。编制符合规范的规划成果，包含规划文本、编制说明、规划图件、附表、附件五大类，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820,000.00</w:t>
      </w:r>
    </w:p>
    <w:p>
      <w:pPr>
        <w:pStyle w:val="null3"/>
      </w:pPr>
      <w:r>
        <w:rPr>
          <w:rFonts w:ascii="仿宋_GB2312" w:hAnsi="仿宋_GB2312" w:cs="仿宋_GB2312" w:eastAsia="仿宋_GB2312"/>
        </w:rPr>
        <w:t>采购包最高限价（元）: 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高标准农田建设规划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标的名称：高标准农田建设规划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一、项目基本信息</w:t>
            </w:r>
          </w:p>
          <w:p>
            <w:pPr>
              <w:pStyle w:val="null3"/>
              <w:ind w:firstLine="640"/>
              <w:jc w:val="both"/>
            </w:pPr>
            <w:r>
              <w:rPr>
                <w:rFonts w:ascii="仿宋_GB2312" w:hAnsi="仿宋_GB2312" w:cs="仿宋_GB2312" w:eastAsia="仿宋_GB2312"/>
                <w:sz w:val="32"/>
              </w:rPr>
              <w:t>项目名称：蒲城县</w:t>
            </w:r>
            <w:r>
              <w:rPr>
                <w:rFonts w:ascii="仿宋_GB2312" w:hAnsi="仿宋_GB2312" w:cs="仿宋_GB2312" w:eastAsia="仿宋_GB2312"/>
                <w:sz w:val="32"/>
              </w:rPr>
              <w:t>202</w:t>
            </w:r>
            <w:r>
              <w:rPr>
                <w:rFonts w:ascii="仿宋_GB2312" w:hAnsi="仿宋_GB2312" w:cs="仿宋_GB2312" w:eastAsia="仿宋_GB2312"/>
                <w:sz w:val="32"/>
              </w:rPr>
              <w:t>5</w:t>
            </w:r>
            <w:r>
              <w:rPr>
                <w:rFonts w:ascii="仿宋_GB2312" w:hAnsi="仿宋_GB2312" w:cs="仿宋_GB2312" w:eastAsia="仿宋_GB2312"/>
                <w:sz w:val="32"/>
              </w:rPr>
              <w:t>-2035年高标准农田建设规划</w:t>
            </w:r>
          </w:p>
          <w:p>
            <w:pPr>
              <w:pStyle w:val="null3"/>
              <w:ind w:firstLine="640"/>
              <w:jc w:val="both"/>
            </w:pPr>
            <w:r>
              <w:rPr>
                <w:rFonts w:ascii="仿宋_GB2312" w:hAnsi="仿宋_GB2312" w:cs="仿宋_GB2312" w:eastAsia="仿宋_GB2312"/>
                <w:sz w:val="32"/>
              </w:rPr>
              <w:t>采购单位：蒲城县农业农村局</w:t>
            </w:r>
          </w:p>
          <w:p>
            <w:pPr>
              <w:pStyle w:val="null3"/>
              <w:ind w:firstLine="640"/>
              <w:jc w:val="both"/>
            </w:pPr>
            <w:r>
              <w:rPr>
                <w:rFonts w:ascii="仿宋_GB2312" w:hAnsi="仿宋_GB2312" w:cs="仿宋_GB2312" w:eastAsia="仿宋_GB2312"/>
                <w:sz w:val="32"/>
              </w:rPr>
              <w:t>采购方式：竞争性磋商</w:t>
            </w:r>
          </w:p>
          <w:p>
            <w:pPr>
              <w:pStyle w:val="null3"/>
              <w:ind w:firstLine="640"/>
              <w:jc w:val="both"/>
            </w:pPr>
            <w:r>
              <w:rPr>
                <w:rFonts w:ascii="仿宋_GB2312" w:hAnsi="仿宋_GB2312" w:cs="仿宋_GB2312" w:eastAsia="仿宋_GB2312"/>
                <w:sz w:val="32"/>
              </w:rPr>
              <w:t>资金性质：财政资金，资金预算</w:t>
            </w:r>
            <w:r>
              <w:rPr>
                <w:rFonts w:ascii="仿宋_GB2312" w:hAnsi="仿宋_GB2312" w:cs="仿宋_GB2312" w:eastAsia="仿宋_GB2312"/>
                <w:sz w:val="32"/>
              </w:rPr>
              <w:t>82万元（大写：捌拾贰万元整）</w:t>
            </w:r>
          </w:p>
          <w:p>
            <w:pPr>
              <w:pStyle w:val="null3"/>
              <w:ind w:firstLine="640"/>
              <w:jc w:val="both"/>
            </w:pPr>
            <w:r>
              <w:rPr>
                <w:rFonts w:ascii="仿宋_GB2312" w:hAnsi="仿宋_GB2312" w:cs="仿宋_GB2312" w:eastAsia="仿宋_GB2312"/>
                <w:sz w:val="32"/>
              </w:rPr>
              <w:t>服务周期：自合同签订之日起六个月内完成全部规划编制工作，并通过省、市级农业农村部门</w:t>
            </w:r>
            <w:r>
              <w:rPr>
                <w:rFonts w:ascii="仿宋_GB2312" w:hAnsi="仿宋_GB2312" w:cs="仿宋_GB2312" w:eastAsia="仿宋_GB2312"/>
                <w:sz w:val="32"/>
              </w:rPr>
              <w:t>审核</w:t>
            </w:r>
            <w:r>
              <w:rPr>
                <w:rFonts w:ascii="仿宋_GB2312" w:hAnsi="仿宋_GB2312" w:cs="仿宋_GB2312" w:eastAsia="仿宋_GB2312"/>
                <w:sz w:val="32"/>
              </w:rPr>
              <w:t>备案</w:t>
            </w:r>
          </w:p>
          <w:p>
            <w:pPr>
              <w:pStyle w:val="null3"/>
              <w:ind w:firstLine="640"/>
              <w:jc w:val="both"/>
            </w:pPr>
            <w:r>
              <w:rPr>
                <w:rFonts w:ascii="仿宋_GB2312" w:hAnsi="仿宋_GB2312" w:cs="仿宋_GB2312" w:eastAsia="仿宋_GB2312"/>
                <w:sz w:val="32"/>
              </w:rPr>
              <w:t>服务地点：陕西省渭南市蒲城县</w:t>
            </w:r>
          </w:p>
          <w:p>
            <w:pPr>
              <w:pStyle w:val="null3"/>
              <w:ind w:firstLine="640"/>
              <w:jc w:val="both"/>
            </w:pPr>
            <w:r>
              <w:rPr>
                <w:rFonts w:ascii="仿宋_GB2312" w:hAnsi="仿宋_GB2312" w:cs="仿宋_GB2312" w:eastAsia="仿宋_GB2312"/>
                <w:sz w:val="32"/>
              </w:rPr>
              <w:t>二、采购背景与依据</w:t>
            </w:r>
          </w:p>
          <w:p>
            <w:pPr>
              <w:pStyle w:val="null3"/>
              <w:ind w:firstLine="640"/>
              <w:jc w:val="both"/>
            </w:pPr>
            <w:r>
              <w:rPr>
                <w:rFonts w:ascii="仿宋_GB2312" w:hAnsi="仿宋_GB2312" w:cs="仿宋_GB2312" w:eastAsia="仿宋_GB2312"/>
                <w:sz w:val="32"/>
              </w:rPr>
              <w:t>为深入贯彻《全国高标准农田建设规划（</w:t>
            </w:r>
            <w:r>
              <w:rPr>
                <w:rFonts w:ascii="仿宋_GB2312" w:hAnsi="仿宋_GB2312" w:cs="仿宋_GB2312" w:eastAsia="仿宋_GB2312"/>
                <w:sz w:val="32"/>
              </w:rPr>
              <w:t>2021-2030 年）》《逐步把永久基本农田建成高标准农田实施方案》要求，落实《县级高标准农田建设规划编制规范》（NY/T4731-2025）标准，衔接陕西省、渭南市高标准农田建设规划总体部署，全面推进蒲城县高标准农田建设工作，科学划定建设分区、明确建设任务、制定实施计划，需委托专业机构开展蒲城县202</w:t>
            </w:r>
            <w:r>
              <w:rPr>
                <w:rFonts w:ascii="仿宋_GB2312" w:hAnsi="仿宋_GB2312" w:cs="仿宋_GB2312" w:eastAsia="仿宋_GB2312"/>
                <w:sz w:val="32"/>
              </w:rPr>
              <w:t>5</w:t>
            </w:r>
            <w:r>
              <w:rPr>
                <w:rFonts w:ascii="仿宋_GB2312" w:hAnsi="仿宋_GB2312" w:cs="仿宋_GB2312" w:eastAsia="仿宋_GB2312"/>
                <w:sz w:val="32"/>
              </w:rPr>
              <w:t>-2035年高标准农田建设规划编制服务，为县域高标准农田建设提供科学依据和行动指南，切实提升耕地质量、保障粮食安全、推动农业农村现代化发展。</w:t>
            </w:r>
          </w:p>
          <w:p>
            <w:pPr>
              <w:pStyle w:val="null3"/>
              <w:ind w:firstLine="640"/>
              <w:jc w:val="both"/>
            </w:pPr>
            <w:r>
              <w:rPr>
                <w:rFonts w:ascii="仿宋_GB2312" w:hAnsi="仿宋_GB2312" w:cs="仿宋_GB2312" w:eastAsia="仿宋_GB2312"/>
                <w:sz w:val="32"/>
              </w:rPr>
              <w:t>三、采购内容与服务要求</w:t>
            </w:r>
          </w:p>
          <w:p>
            <w:pPr>
              <w:pStyle w:val="null3"/>
              <w:ind w:firstLine="643"/>
              <w:jc w:val="both"/>
            </w:pPr>
            <w:r>
              <w:rPr>
                <w:rFonts w:ascii="仿宋_GB2312" w:hAnsi="仿宋_GB2312" w:cs="仿宋_GB2312" w:eastAsia="仿宋_GB2312"/>
                <w:sz w:val="32"/>
                <w:b/>
              </w:rPr>
              <w:t>（一）核心服务内容</w:t>
            </w:r>
          </w:p>
          <w:p>
            <w:pPr>
              <w:pStyle w:val="null3"/>
              <w:ind w:firstLine="640"/>
              <w:jc w:val="both"/>
            </w:pPr>
            <w:r>
              <w:rPr>
                <w:rFonts w:ascii="仿宋_GB2312" w:hAnsi="仿宋_GB2312" w:cs="仿宋_GB2312" w:eastAsia="仿宋_GB2312"/>
                <w:sz w:val="32"/>
              </w:rPr>
              <w:t>一是</w:t>
            </w:r>
            <w:r>
              <w:rPr>
                <w:rFonts w:ascii="仿宋_GB2312" w:hAnsi="仿宋_GB2312" w:cs="仿宋_GB2312" w:eastAsia="仿宋_GB2312"/>
                <w:sz w:val="32"/>
              </w:rPr>
              <w:t>按照《县级高标准农田建设规划编制规范》（</w:t>
            </w:r>
            <w:r>
              <w:rPr>
                <w:rFonts w:ascii="仿宋_GB2312" w:hAnsi="仿宋_GB2312" w:cs="仿宋_GB2312" w:eastAsia="仿宋_GB2312"/>
                <w:sz w:val="32"/>
              </w:rPr>
              <w:t>NY/T4731-2025）要求，完成蒲城县202</w:t>
            </w:r>
            <w:r>
              <w:rPr>
                <w:rFonts w:ascii="仿宋_GB2312" w:hAnsi="仿宋_GB2312" w:cs="仿宋_GB2312" w:eastAsia="仿宋_GB2312"/>
                <w:sz w:val="32"/>
              </w:rPr>
              <w:t>5</w:t>
            </w:r>
            <w:r>
              <w:rPr>
                <w:rFonts w:ascii="仿宋_GB2312" w:hAnsi="仿宋_GB2312" w:cs="仿宋_GB2312" w:eastAsia="仿宋_GB2312"/>
                <w:sz w:val="32"/>
              </w:rPr>
              <w:t>-2035年高标准农田建设规划全流程编制工作，包括基础资料收集与分析、实地调研、现状评估、建设潜力分析、规划方案编制、成果论证与修改完善等</w:t>
            </w:r>
            <w:r>
              <w:rPr>
                <w:rFonts w:ascii="仿宋_GB2312" w:hAnsi="仿宋_GB2312" w:cs="仿宋_GB2312" w:eastAsia="仿宋_GB2312"/>
                <w:sz w:val="32"/>
              </w:rPr>
              <w:t>；</w:t>
            </w:r>
            <w:r>
              <w:rPr>
                <w:rFonts w:ascii="仿宋_GB2312" w:hAnsi="仿宋_GB2312" w:cs="仿宋_GB2312" w:eastAsia="仿宋_GB2312"/>
                <w:sz w:val="32"/>
              </w:rPr>
              <w:t>二是</w:t>
            </w:r>
            <w:r>
              <w:rPr>
                <w:rFonts w:ascii="仿宋_GB2312" w:hAnsi="仿宋_GB2312" w:cs="仿宋_GB2312" w:eastAsia="仿宋_GB2312"/>
                <w:sz w:val="32"/>
              </w:rPr>
              <w:t>编制符合规范的规划成果，包含规划文本、编制说明、规划图件、附表、附件五大类，同时建立县级高标准农田建设项目储备库（含新建、改造提升、高效节水灌溉类项目）</w:t>
            </w:r>
            <w:r>
              <w:rPr>
                <w:rFonts w:ascii="仿宋_GB2312" w:hAnsi="仿宋_GB2312" w:cs="仿宋_GB2312" w:eastAsia="仿宋_GB2312"/>
                <w:sz w:val="32"/>
              </w:rPr>
              <w:t>；</w:t>
            </w:r>
            <w:r>
              <w:rPr>
                <w:rFonts w:ascii="仿宋_GB2312" w:hAnsi="仿宋_GB2312" w:cs="仿宋_GB2312" w:eastAsia="仿宋_GB2312"/>
                <w:sz w:val="32"/>
              </w:rPr>
              <w:t>三是</w:t>
            </w:r>
            <w:r>
              <w:rPr>
                <w:rFonts w:ascii="仿宋_GB2312" w:hAnsi="仿宋_GB2312" w:cs="仿宋_GB2312" w:eastAsia="仿宋_GB2312"/>
                <w:sz w:val="32"/>
              </w:rPr>
              <w:t>协助采购单位完成规划成果的部门意见征求、公示、专家评审</w:t>
            </w:r>
            <w:r>
              <w:rPr>
                <w:rFonts w:ascii="仿宋_GB2312" w:hAnsi="仿宋_GB2312" w:cs="仿宋_GB2312" w:eastAsia="仿宋_GB2312"/>
                <w:sz w:val="32"/>
              </w:rPr>
              <w:t>，</w:t>
            </w:r>
            <w:r>
              <w:rPr>
                <w:rFonts w:ascii="仿宋_GB2312" w:hAnsi="仿宋_GB2312" w:cs="仿宋_GB2312" w:eastAsia="仿宋_GB2312"/>
                <w:sz w:val="32"/>
              </w:rPr>
              <w:t>省、市级农业农村部门备案等工作</w:t>
            </w:r>
            <w:r>
              <w:rPr>
                <w:rFonts w:ascii="仿宋_GB2312" w:hAnsi="仿宋_GB2312" w:cs="仿宋_GB2312" w:eastAsia="仿宋_GB2312"/>
                <w:sz w:val="32"/>
              </w:rPr>
              <w:t>；</w:t>
            </w:r>
            <w:r>
              <w:rPr>
                <w:rFonts w:ascii="仿宋_GB2312" w:hAnsi="仿宋_GB2312" w:cs="仿宋_GB2312" w:eastAsia="仿宋_GB2312"/>
                <w:sz w:val="32"/>
              </w:rPr>
              <w:t>四是</w:t>
            </w:r>
            <w:r>
              <w:rPr>
                <w:rFonts w:ascii="仿宋_GB2312" w:hAnsi="仿宋_GB2312" w:cs="仿宋_GB2312" w:eastAsia="仿宋_GB2312"/>
                <w:sz w:val="32"/>
              </w:rPr>
              <w:t>提供规划成果的后续技术支持，包括规划实施解读、项目库动态更新指导、中期评估配合等，服务至规划首个实施年度结束。</w:t>
            </w:r>
          </w:p>
          <w:p>
            <w:pPr>
              <w:pStyle w:val="null3"/>
              <w:ind w:firstLine="643"/>
              <w:jc w:val="both"/>
            </w:pPr>
            <w:r>
              <w:rPr>
                <w:rFonts w:ascii="仿宋_GB2312" w:hAnsi="仿宋_GB2312" w:cs="仿宋_GB2312" w:eastAsia="仿宋_GB2312"/>
                <w:sz w:val="32"/>
                <w:b/>
              </w:rPr>
              <w:t>（二）成果质量要求</w:t>
            </w:r>
          </w:p>
          <w:p>
            <w:pPr>
              <w:pStyle w:val="null3"/>
              <w:ind w:firstLine="640"/>
              <w:jc w:val="both"/>
            </w:pPr>
            <w:r>
              <w:rPr>
                <w:rFonts w:ascii="仿宋_GB2312" w:hAnsi="仿宋_GB2312" w:cs="仿宋_GB2312" w:eastAsia="仿宋_GB2312"/>
                <w:sz w:val="32"/>
              </w:rPr>
              <w:t>一是</w:t>
            </w:r>
            <w:r>
              <w:rPr>
                <w:rFonts w:ascii="仿宋_GB2312" w:hAnsi="仿宋_GB2312" w:cs="仿宋_GB2312" w:eastAsia="仿宋_GB2312"/>
                <w:sz w:val="32"/>
              </w:rPr>
              <w:t>规划编制严格遵循《县级高标准农田建设规划编制规范》（</w:t>
            </w:r>
            <w:r>
              <w:rPr>
                <w:rFonts w:ascii="仿宋_GB2312" w:hAnsi="仿宋_GB2312" w:cs="仿宋_GB2312" w:eastAsia="仿宋_GB2312"/>
                <w:sz w:val="32"/>
              </w:rPr>
              <w:t>NY/T4731-2025）、国家及省、市相关政策性文件和技术标准，确保内容合规、数据准确、逻辑严谨</w:t>
            </w:r>
            <w:r>
              <w:rPr>
                <w:rFonts w:ascii="仿宋_GB2312" w:hAnsi="仿宋_GB2312" w:cs="仿宋_GB2312" w:eastAsia="仿宋_GB2312"/>
                <w:sz w:val="32"/>
              </w:rPr>
              <w:t>；</w:t>
            </w:r>
            <w:r>
              <w:rPr>
                <w:rFonts w:ascii="仿宋_GB2312" w:hAnsi="仿宋_GB2312" w:cs="仿宋_GB2312" w:eastAsia="仿宋_GB2312"/>
                <w:sz w:val="32"/>
              </w:rPr>
              <w:t>二是</w:t>
            </w:r>
            <w:r>
              <w:rPr>
                <w:rFonts w:ascii="仿宋_GB2312" w:hAnsi="仿宋_GB2312" w:cs="仿宋_GB2312" w:eastAsia="仿宋_GB2312"/>
                <w:sz w:val="32"/>
              </w:rPr>
              <w:t>规划图件采用</w:t>
            </w:r>
            <w:r>
              <w:rPr>
                <w:rFonts w:ascii="仿宋_GB2312" w:hAnsi="仿宋_GB2312" w:cs="仿宋_GB2312" w:eastAsia="仿宋_GB2312"/>
                <w:sz w:val="32"/>
              </w:rPr>
              <w:t>2000国家大地坐标系（CGCS2000）、1985 国家高程基准，比例尺不低于 1:5 万（核心区域 1:1 万），包含矢量和栅格两种格式，满足 “一张图” 管理要求</w:t>
            </w:r>
            <w:r>
              <w:rPr>
                <w:rFonts w:ascii="仿宋_GB2312" w:hAnsi="仿宋_GB2312" w:cs="仿宋_GB2312" w:eastAsia="仿宋_GB2312"/>
                <w:sz w:val="32"/>
              </w:rPr>
              <w:t>；</w:t>
            </w:r>
            <w:r>
              <w:rPr>
                <w:rFonts w:ascii="仿宋_GB2312" w:hAnsi="仿宋_GB2312" w:cs="仿宋_GB2312" w:eastAsia="仿宋_GB2312"/>
                <w:sz w:val="32"/>
              </w:rPr>
              <w:t>三是</w:t>
            </w:r>
            <w:r>
              <w:rPr>
                <w:rFonts w:ascii="仿宋_GB2312" w:hAnsi="仿宋_GB2312" w:cs="仿宋_GB2312" w:eastAsia="仿宋_GB2312"/>
                <w:sz w:val="32"/>
              </w:rPr>
              <w:t>规划成果需通过</w:t>
            </w:r>
            <w:r>
              <w:rPr>
                <w:rFonts w:ascii="仿宋_GB2312" w:hAnsi="仿宋_GB2312" w:cs="仿宋_GB2312" w:eastAsia="仿宋_GB2312"/>
                <w:sz w:val="32"/>
              </w:rPr>
              <w:t>上级</w:t>
            </w:r>
            <w:r>
              <w:rPr>
                <w:rFonts w:ascii="仿宋_GB2312" w:hAnsi="仿宋_GB2312" w:cs="仿宋_GB2312" w:eastAsia="仿宋_GB2312"/>
                <w:sz w:val="32"/>
              </w:rPr>
              <w:t>农业农村部门</w:t>
            </w:r>
            <w:r>
              <w:rPr>
                <w:rFonts w:ascii="仿宋_GB2312" w:hAnsi="仿宋_GB2312" w:cs="仿宋_GB2312" w:eastAsia="仿宋_GB2312"/>
                <w:sz w:val="32"/>
              </w:rPr>
              <w:t>审核认定</w:t>
            </w:r>
            <w:r>
              <w:rPr>
                <w:rFonts w:ascii="仿宋_GB2312" w:hAnsi="仿宋_GB2312" w:cs="仿宋_GB2312" w:eastAsia="仿宋_GB2312"/>
                <w:sz w:val="32"/>
              </w:rPr>
              <w:t>，所有成果需符合档案管理要求，提供纸质版（正本</w:t>
            </w:r>
            <w:r>
              <w:rPr>
                <w:rFonts w:ascii="仿宋_GB2312" w:hAnsi="仿宋_GB2312" w:cs="仿宋_GB2312" w:eastAsia="仿宋_GB2312"/>
                <w:sz w:val="32"/>
              </w:rPr>
              <w:t>1 份、副本 2 份）和电子版（U 盘/光盘 3 份，含可编辑版、PDF 版）。</w:t>
            </w:r>
          </w:p>
          <w:p>
            <w:pPr>
              <w:pStyle w:val="null3"/>
              <w:ind w:firstLine="640"/>
              <w:jc w:val="both"/>
            </w:pPr>
            <w:r>
              <w:rPr>
                <w:rFonts w:ascii="仿宋_GB2312" w:hAnsi="仿宋_GB2312" w:cs="仿宋_GB2312" w:eastAsia="仿宋_GB2312"/>
                <w:sz w:val="32"/>
              </w:rPr>
              <w:t>四</w:t>
            </w:r>
            <w:r>
              <w:rPr>
                <w:rFonts w:ascii="仿宋_GB2312" w:hAnsi="仿宋_GB2312" w:cs="仿宋_GB2312" w:eastAsia="仿宋_GB2312"/>
                <w:sz w:val="32"/>
              </w:rPr>
              <w:t>、资金预算与付款方式</w:t>
            </w:r>
          </w:p>
          <w:p>
            <w:pPr>
              <w:pStyle w:val="null3"/>
              <w:ind w:firstLine="643"/>
              <w:jc w:val="both"/>
            </w:pPr>
            <w:r>
              <w:rPr>
                <w:rFonts w:ascii="仿宋_GB2312" w:hAnsi="仿宋_GB2312" w:cs="仿宋_GB2312" w:eastAsia="仿宋_GB2312"/>
                <w:sz w:val="32"/>
                <w:b/>
              </w:rPr>
              <w:t>（一）资金预算</w:t>
            </w:r>
          </w:p>
          <w:p>
            <w:pPr>
              <w:pStyle w:val="null3"/>
              <w:ind w:firstLine="640"/>
              <w:jc w:val="both"/>
            </w:pPr>
            <w:r>
              <w:rPr>
                <w:rFonts w:ascii="仿宋_GB2312" w:hAnsi="仿宋_GB2312" w:cs="仿宋_GB2312" w:eastAsia="仿宋_GB2312"/>
                <w:sz w:val="32"/>
              </w:rPr>
              <w:t>本项目总预算为人民币</w:t>
            </w:r>
            <w:r>
              <w:rPr>
                <w:rFonts w:ascii="仿宋_GB2312" w:hAnsi="仿宋_GB2312" w:cs="仿宋_GB2312" w:eastAsia="仿宋_GB2312"/>
                <w:sz w:val="32"/>
              </w:rPr>
              <w:t>820000.00元（大写：捌拾贰万元整），包含资料收集费、实地调研费、分析编制费、图件制作费、专家咨询费、成果印刷费、备案服务费等全部费用，采购单位不再另行支付其他费用。</w:t>
            </w:r>
          </w:p>
          <w:p>
            <w:pPr>
              <w:pStyle w:val="null3"/>
              <w:ind w:firstLine="643"/>
              <w:jc w:val="both"/>
            </w:pPr>
            <w:r>
              <w:rPr>
                <w:rFonts w:ascii="仿宋_GB2312" w:hAnsi="仿宋_GB2312" w:cs="仿宋_GB2312" w:eastAsia="仿宋_GB2312"/>
                <w:sz w:val="32"/>
                <w:b/>
              </w:rPr>
              <w:t>（二）付款方式</w:t>
            </w:r>
          </w:p>
          <w:p>
            <w:pPr>
              <w:pStyle w:val="null3"/>
              <w:ind w:firstLine="640"/>
              <w:jc w:val="both"/>
            </w:pPr>
            <w:r>
              <w:rPr>
                <w:rFonts w:ascii="仿宋_GB2312" w:hAnsi="仿宋_GB2312" w:cs="仿宋_GB2312" w:eastAsia="仿宋_GB2312"/>
                <w:sz w:val="32"/>
              </w:rPr>
              <w:t>项目</w:t>
            </w:r>
            <w:r>
              <w:rPr>
                <w:rFonts w:ascii="仿宋_GB2312" w:hAnsi="仿宋_GB2312" w:cs="仿宋_GB2312" w:eastAsia="仿宋_GB2312"/>
                <w:sz w:val="32"/>
              </w:rPr>
              <w:t>完成，</w:t>
            </w:r>
            <w:r>
              <w:rPr>
                <w:rFonts w:ascii="仿宋_GB2312" w:hAnsi="仿宋_GB2312" w:cs="仿宋_GB2312" w:eastAsia="仿宋_GB2312"/>
                <w:sz w:val="32"/>
              </w:rPr>
              <w:t>审查</w:t>
            </w:r>
            <w:r>
              <w:rPr>
                <w:rFonts w:ascii="仿宋_GB2312" w:hAnsi="仿宋_GB2312" w:cs="仿宋_GB2312" w:eastAsia="仿宋_GB2312"/>
                <w:sz w:val="32"/>
              </w:rPr>
              <w:t>合格</w:t>
            </w:r>
            <w:r>
              <w:rPr>
                <w:rFonts w:ascii="仿宋_GB2312" w:hAnsi="仿宋_GB2312" w:cs="仿宋_GB2312" w:eastAsia="仿宋_GB2312"/>
                <w:sz w:val="32"/>
              </w:rPr>
              <w:t>后一次性全额支付。</w:t>
            </w:r>
          </w:p>
          <w:p>
            <w:pPr>
              <w:pStyle w:val="null3"/>
              <w:ind w:firstLine="640"/>
              <w:jc w:val="both"/>
            </w:pPr>
            <w:r>
              <w:rPr>
                <w:rFonts w:ascii="仿宋_GB2312" w:hAnsi="仿宋_GB2312" w:cs="仿宋_GB2312" w:eastAsia="仿宋_GB2312"/>
                <w:sz w:val="32"/>
              </w:rPr>
              <w:t>五、其他要求</w:t>
            </w:r>
          </w:p>
          <w:p>
            <w:pPr>
              <w:pStyle w:val="null3"/>
              <w:ind w:firstLine="640"/>
              <w:jc w:val="both"/>
            </w:pPr>
            <w:r>
              <w:rPr>
                <w:rFonts w:ascii="仿宋_GB2312" w:hAnsi="仿宋_GB2312" w:cs="仿宋_GB2312" w:eastAsia="仿宋_GB2312"/>
                <w:sz w:val="32"/>
              </w:rPr>
              <w:t>安排专人负责项目对接，及时协调解决规划编制过程中的问题，确保项目按期推进</w:t>
            </w:r>
            <w:r>
              <w:rPr>
                <w:rFonts w:ascii="仿宋_GB2312" w:hAnsi="仿宋_GB2312" w:cs="仿宋_GB2312" w:eastAsia="仿宋_GB2312"/>
                <w:sz w:val="32"/>
              </w:rPr>
              <w:t>。</w:t>
            </w:r>
            <w:r>
              <w:rPr>
                <w:rFonts w:ascii="仿宋_GB2312" w:hAnsi="仿宋_GB2312" w:cs="仿宋_GB2312" w:eastAsia="仿宋_GB2312"/>
                <w:sz w:val="32"/>
              </w:rPr>
              <w:t>项目团队核心成员不少于</w:t>
            </w:r>
            <w:r>
              <w:rPr>
                <w:rFonts w:ascii="仿宋_GB2312" w:hAnsi="仿宋_GB2312" w:cs="仿宋_GB2312" w:eastAsia="仿宋_GB2312"/>
                <w:sz w:val="32"/>
              </w:rPr>
              <w:t>5 人，需包含农田建设、水利工程等相关专业技术人员，且项目负责人具有中级及以上职称</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成交供应商不得将本项目转包、分包给其他单位或个人，否则采购单位有权解除合同，并追究其违约责任。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自行安排符合项目完成所需人员。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根据现场需求自行配备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自合同签订之日起六个月内完成全部规划编制工作，并通过省、市级农业农村部门审核备案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规划成果获得县级政府批复并完成备案，采购单位组织正式验收。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项目完成，审查合格后，供应方向采购方开具正式票据，采购方收到发票后内向供应商一次性全额支付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合同执行过程中如有争议，双方应及时协商解决。协商不成时，向项目所在地人民法院起诉。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 其他未列明行业。 2.本项目不专门面向中小企业采购。 3.异常低价处理：（1）政府采购评审中出现下列情形之一的，磋商小组应当启动异常低价响应审查程序：3.1.响应报价低于全部通过符合性审查供应商响应报价平均值50%的，即响应报价&lt;全部通过符合性审查供应商响应报价平均值×50%；3.2.响应报价低于通过符合性审查的次低报价供应商响应报价50%的，即响应报价&lt;通过符合性审查的次低报价供应商响应报价×50%；3.3.响应报价低于采购项目最高限价45%的，即响应报价&lt;采购项目最高限价×45%；3.4.磋商小组基于专业判断，认为供应商报价过低，有可能影响产品质量或者不能诚信履约的其他情形。 （2）磋商小组启动异常低价响应审查后，相关供应商在评审现场合理的时间内对响 应价格作出解释，提供项目具体成本测算等与报价合理性相关的书面说明及必要的证明材料，包括但不限于原材料成本、人工成本、制造费用等。 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4.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法人提供经审计的2024年度或2025年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供应商须具备工程设计综合资质或工程设计专业资质农林行业(农业工程或农业综合开发生态工程)设计行业乙级及以上或水利工程设计专业乙级及以上或土地规划乙级及以上资质；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拟派项目负责人须具备农业类或水利类相关专业中级及以上职称；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（1）货币单位符合采购文件要求（2）报价符合唯一性要求 （3）未超出采购预算或最高限价（4）符合《开标一览表》的填报要求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根据本项目需求编制整体服务方案，包括以下4项内容：①项目理解、②工作思路、③工作原则、④合理化建议。 二、评审标准完整性：方案须全面，对评审内容中的各项要求有详细描述及说明； 可实施性：切合本项目实际情况，实施步骤清晰、合理； 针对性：方案能够紧扣项目实际情况，内容科学合理。 三、赋分标准 1、供应商制定的整体服务方案理解准确，内容齐全、结构完整、表述准确、条理清晰得20.0分，评审内容每缺失一项，扣5.0分。 2、根据评审标准对供应商整体服务方案进行评审，每项评审内容有一处存在缺陷的扣1.0分。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工作配合保障措施</w:t>
            </w:r>
          </w:p>
        </w:tc>
        <w:tc>
          <w:tcPr>
            <w:tcW w:type="dxa" w:w="2492"/>
          </w:tcPr>
          <w:p>
            <w:pPr>
              <w:pStyle w:val="null3"/>
            </w:pPr>
            <w:r>
              <w:rPr>
                <w:rFonts w:ascii="仿宋_GB2312" w:hAnsi="仿宋_GB2312" w:cs="仿宋_GB2312" w:eastAsia="仿宋_GB2312"/>
              </w:rPr>
              <w:t>一、评审内容 提供服务人员与采购人工作配合的保障措施。包括以下3项内容：① 组织保障②制度与流程保障③沟通与信息保障。二、评审标准完整性：保障措施须全面，对评审内容中的各项要求有详细描述及说明； 可实施性：切合本项目实际情况，实施步骤清晰、合理； 针对性：方案能够紧扣项目实际情况，内容科学合理。 三、赋分标准 1、保障措施对项目要求理解准确，内容齐全、结构完整、表述准确、条理清晰得15.0分，评审内容每缺失一项，扣5.0分。 2、根据评审标准对供应商的保障措施进行评审，每项评审内容有一处存在缺陷的扣1.0分。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应急方案及其他保证措施措施</w:t>
            </w:r>
          </w:p>
        </w:tc>
        <w:tc>
          <w:tcPr>
            <w:tcW w:type="dxa" w:w="2492"/>
          </w:tcPr>
          <w:p>
            <w:pPr>
              <w:pStyle w:val="null3"/>
            </w:pPr>
            <w:r>
              <w:rPr>
                <w:rFonts w:ascii="仿宋_GB2312" w:hAnsi="仿宋_GB2312" w:cs="仿宋_GB2312" w:eastAsia="仿宋_GB2312"/>
              </w:rPr>
              <w:t>一、评审内容 根据本项目需求编制应急方案，包括以下4项内容：①应急方案及补救措施、②成果质量保障措施、③成果交付措施、④验收措施 二、评审标准 完整性：方案须全面，对评审内容中的各项要求有详细描述及说明； 可实施性：切合本项目实际情况，实施步骤清晰、合理； 针对性：方案能够紧扣项目实际情况，内容科学合理。 三、赋分标准 1、供应商制定的方案及措施要求理解准确，内容齐全、结构完整、表述准确、条理清晰得20.0分，评审内容每缺失一项，扣5.0分。 2、根据评审标准对供应商应急方案进行评审，每项评审内容有一处存在缺陷的扣1.0分。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提供服务承诺，包括以下3项内容：① 服务质量承诺②服务响应时限承诺③安全保障承诺。二、评审标准完整性：服务承诺须全面，对评审内容中的各项要求有详细描述及说明； 可实施性：切合本项目实际情况，实施步骤清晰、合理； 针对性：方案能够紧扣项目实际情况，内容科学合理。 三、赋分标准 1、服务承诺对项目要求理解准确，内容齐全、结构完整、表述准确、条理清晰得15.0分，评审内容每缺失一项，扣5.0分。 2、根据评审标准对供应商服务承诺进行评审，每项评审内容有一处存在缺陷的扣1.0分。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拟派本项目团队人员须为本单位在职人员，且具备农业类或水利类相关专业中级及以上职称，团队中每具有1名高级及以上职称得4分；每具有1名中级及以上职称的计2分，本项最高得10分； 评审依据：提供配备人员在职证明材料及职称证书加盖公章的复印件或扫描件，证明材料不齐全的不能得分。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提供供应商2023年1月1日至今（以合同签订时间为准）类似项目业绩，每有 1 项得 2 分，最多得 10分。 评审依据：提供加盖公章的合同复印件或扫描件，未提供有效业绩证明材料的不能得分。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2.有效最低报价为基准价得10分。 3.按（有效最低报价/有效投标报价）×10的公式计算其得分。 4.投标报价不完整的，不进入评标标准价的计算，本项得0分。 5.经评委一致认定，供应商的投标总报价低于公认市场成本，或超过采购预算,其投标将被拒绝。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