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9A7C1">
      <w:pPr>
        <w:rPr>
          <w:rFonts w:hint="eastAsia"/>
        </w:rPr>
      </w:pPr>
      <w:bookmarkStart w:id="0" w:name="_GoBack"/>
      <w:bookmarkEnd w:id="0"/>
    </w:p>
    <w:p w14:paraId="082A6EF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14:paraId="54FE675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14:paraId="0852730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蒲城县2025-2035年高标准农田建设规划</w:t>
      </w:r>
    </w:p>
    <w:p w14:paraId="4FC65C0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设计服务合同</w:t>
      </w:r>
    </w:p>
    <w:p w14:paraId="73874197">
      <w:pPr>
        <w:rPr>
          <w:rFonts w:hint="eastAsia" w:ascii="仿宋_GB2312" w:hAnsi="仿宋_GB2312" w:eastAsia="仿宋_GB2312" w:cs="仿宋_GB2312"/>
          <w:sz w:val="32"/>
          <w:szCs w:val="32"/>
        </w:rPr>
      </w:pPr>
    </w:p>
    <w:p w14:paraId="627BF885">
      <w:pPr>
        <w:rPr>
          <w:rFonts w:hint="eastAsia" w:ascii="仿宋_GB2312" w:hAnsi="仿宋_GB2312" w:eastAsia="仿宋_GB2312" w:cs="仿宋_GB2312"/>
          <w:sz w:val="32"/>
          <w:szCs w:val="32"/>
        </w:rPr>
      </w:pPr>
    </w:p>
    <w:p w14:paraId="47693ABC">
      <w:pPr>
        <w:rPr>
          <w:rFonts w:hint="eastAsia" w:ascii="仿宋_GB2312" w:hAnsi="仿宋_GB2312" w:eastAsia="仿宋_GB2312" w:cs="仿宋_GB2312"/>
          <w:sz w:val="32"/>
          <w:szCs w:val="32"/>
        </w:rPr>
      </w:pPr>
    </w:p>
    <w:p w14:paraId="3A33BACB">
      <w:pPr>
        <w:rPr>
          <w:rFonts w:hint="eastAsia" w:ascii="仿宋_GB2312" w:hAnsi="仿宋_GB2312" w:eastAsia="仿宋_GB2312" w:cs="仿宋_GB2312"/>
          <w:sz w:val="32"/>
          <w:szCs w:val="32"/>
        </w:rPr>
      </w:pPr>
    </w:p>
    <w:p w14:paraId="7CA13478">
      <w:pPr>
        <w:rPr>
          <w:rFonts w:hint="eastAsia" w:ascii="仿宋_GB2312" w:hAnsi="仿宋_GB2312" w:eastAsia="仿宋_GB2312" w:cs="仿宋_GB2312"/>
          <w:sz w:val="32"/>
          <w:szCs w:val="32"/>
        </w:rPr>
      </w:pPr>
    </w:p>
    <w:p w14:paraId="6B60DB25">
      <w:pPr>
        <w:rPr>
          <w:rFonts w:hint="eastAsia" w:ascii="仿宋_GB2312" w:hAnsi="仿宋_GB2312" w:eastAsia="仿宋_GB2312" w:cs="仿宋_GB2312"/>
          <w:sz w:val="32"/>
          <w:szCs w:val="32"/>
        </w:rPr>
      </w:pPr>
    </w:p>
    <w:p w14:paraId="63902811">
      <w:pPr>
        <w:rPr>
          <w:rFonts w:hint="eastAsia" w:ascii="仿宋_GB2312" w:hAnsi="仿宋_GB2312" w:eastAsia="仿宋_GB2312" w:cs="仿宋_GB2312"/>
          <w:sz w:val="32"/>
          <w:szCs w:val="32"/>
        </w:rPr>
      </w:pPr>
    </w:p>
    <w:p w14:paraId="42677884">
      <w:pPr>
        <w:rPr>
          <w:rFonts w:hint="eastAsia" w:ascii="仿宋_GB2312" w:hAnsi="仿宋_GB2312" w:eastAsia="仿宋_GB2312" w:cs="仿宋_GB2312"/>
          <w:sz w:val="32"/>
          <w:szCs w:val="32"/>
        </w:rPr>
      </w:pPr>
    </w:p>
    <w:p w14:paraId="229B536B">
      <w:pPr>
        <w:rPr>
          <w:rFonts w:hint="eastAsia" w:ascii="仿宋_GB2312" w:hAnsi="仿宋_GB2312" w:eastAsia="仿宋_GB2312" w:cs="仿宋_GB2312"/>
          <w:sz w:val="32"/>
          <w:szCs w:val="32"/>
        </w:rPr>
      </w:pPr>
    </w:p>
    <w:p w14:paraId="7A59A623">
      <w:pPr>
        <w:rPr>
          <w:rFonts w:hint="eastAsia" w:ascii="仿宋_GB2312" w:hAnsi="仿宋_GB2312" w:eastAsia="仿宋_GB2312" w:cs="仿宋_GB2312"/>
          <w:sz w:val="32"/>
          <w:szCs w:val="32"/>
        </w:rPr>
      </w:pPr>
    </w:p>
    <w:p w14:paraId="6917E16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甲方：</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14:paraId="7B7F8FB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0B95DFDF">
      <w:pPr>
        <w:ind w:firstLine="1280" w:firstLineChars="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14:paraId="7717EA09">
      <w:pPr>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433E9DE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签订时间：</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14:paraId="2034C39C">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5CA16E6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签订地点：</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w:t>
      </w:r>
    </w:p>
    <w:p w14:paraId="180A2665">
      <w:pPr>
        <w:rPr>
          <w:rFonts w:hint="eastAsia" w:ascii="仿宋_GB2312" w:hAnsi="仿宋_GB2312" w:eastAsia="仿宋_GB2312" w:cs="仿宋_GB2312"/>
          <w:sz w:val="32"/>
          <w:szCs w:val="32"/>
        </w:rPr>
      </w:pPr>
    </w:p>
    <w:p w14:paraId="20C58E0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蒲城县2025-2035年高标准农田建设规划</w:t>
      </w:r>
    </w:p>
    <w:p w14:paraId="35FD833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设计服务合同</w:t>
      </w:r>
    </w:p>
    <w:p w14:paraId="0A4E87EC">
      <w:pPr>
        <w:rPr>
          <w:rFonts w:hint="eastAsia" w:ascii="仿宋_GB2312" w:hAnsi="仿宋_GB2312" w:eastAsia="仿宋_GB2312" w:cs="仿宋_GB2312"/>
          <w:sz w:val="32"/>
          <w:szCs w:val="32"/>
        </w:rPr>
      </w:pPr>
    </w:p>
    <w:p w14:paraId="5450531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以下简称甲方）</w:t>
      </w:r>
    </w:p>
    <w:p w14:paraId="3BF3C60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以下简称乙方）</w:t>
      </w:r>
    </w:p>
    <w:p w14:paraId="118AEDE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本合同甲方</w:t>
      </w:r>
      <w:r>
        <w:rPr>
          <w:rFonts w:hint="eastAsia" w:ascii="仿宋_GB2312" w:hAnsi="仿宋_GB2312" w:eastAsia="仿宋_GB2312" w:cs="仿宋_GB2312"/>
          <w:sz w:val="32"/>
          <w:szCs w:val="32"/>
          <w:lang w:val="en-US" w:eastAsia="zh-CN"/>
        </w:rPr>
        <w:t>经政府集中采购，按照招投标结果，</w:t>
      </w:r>
      <w:r>
        <w:rPr>
          <w:rFonts w:hint="eastAsia" w:ascii="仿宋_GB2312" w:hAnsi="仿宋_GB2312" w:eastAsia="仿宋_GB2312" w:cs="仿宋_GB2312"/>
          <w:sz w:val="32"/>
          <w:szCs w:val="32"/>
        </w:rPr>
        <w:t>委托乙方就蒲城县202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-2035年高标准农田建设规划项目提供编制服务，并支付相应服务报酬。双方经过平等协商，根据《中华人民共和国民法典》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《中华人民共和国政府采购法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等规定，达成如下协议。</w:t>
      </w:r>
    </w:p>
    <w:p w14:paraId="07015F0E">
      <w:pPr>
        <w:ind w:firstLine="640" w:firstLineChars="200"/>
        <w:rPr>
          <w:rFonts w:hint="eastAsia" w:ascii="黑体" w:hAnsi="黑体" w:eastAsia="黑体" w:cs="黑体"/>
          <w:sz w:val="32"/>
          <w:szCs w:val="32"/>
        </w:rPr>
      </w:pPr>
      <w:r>
        <w:rPr>
          <w:rFonts w:hint="eastAsia" w:ascii="黑体" w:hAnsi="黑体" w:eastAsia="黑体" w:cs="黑体"/>
          <w:sz w:val="32"/>
          <w:szCs w:val="32"/>
        </w:rPr>
        <w:t>第一条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项目的名称、地点、编制内容</w:t>
      </w:r>
    </w:p>
    <w:p w14:paraId="4C9D83C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项目名称：蒲城县2025-2035年高标准农田建设规划</w:t>
      </w:r>
    </w:p>
    <w:p w14:paraId="13C7FAE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项目地点：陕西省渭南市蒲城县</w:t>
      </w:r>
    </w:p>
    <w:p w14:paraId="59B2DE6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服务性质：规划设计全流程服务（含调研、编制、论证、报审、备案及后续技术支持）。</w:t>
      </w:r>
    </w:p>
    <w:p w14:paraId="24CB29F2">
      <w:pPr>
        <w:ind w:firstLine="640" w:firstLineChars="200"/>
        <w:rPr>
          <w:rFonts w:hint="eastAsia" w:ascii="黑体" w:hAnsi="黑体" w:eastAsia="黑体" w:cs="黑体"/>
          <w:sz w:val="32"/>
          <w:szCs w:val="32"/>
        </w:rPr>
      </w:pPr>
      <w:r>
        <w:rPr>
          <w:rFonts w:hint="eastAsia" w:ascii="黑体" w:hAnsi="黑体" w:eastAsia="黑体" w:cs="黑体"/>
          <w:sz w:val="32"/>
          <w:szCs w:val="32"/>
        </w:rPr>
        <w:t>第二条</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交付成果内容及份数</w:t>
      </w:r>
    </w:p>
    <w:p w14:paraId="4B7EE62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核心成果：蒲城县2025-2035年高标准农田建设规划设计文本、编制说明、规划图件、附表、附件；</w:t>
      </w:r>
    </w:p>
    <w:p w14:paraId="516B5D2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配套成果：高标准农田建设项目规划储备库相关资料；</w:t>
      </w:r>
    </w:p>
    <w:p w14:paraId="26C6229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要求：</w:t>
      </w:r>
      <w:r>
        <w:rPr>
          <w:rFonts w:hint="eastAsia" w:ascii="仿宋_GB2312" w:hAnsi="仿宋_GB2312" w:eastAsia="仿宋_GB2312" w:cs="仿宋_GB2312"/>
          <w:sz w:val="32"/>
          <w:szCs w:val="32"/>
        </w:rPr>
        <w:t>蒲城县2025-2035年高标准农田建设规划设计文本、编制说明、规划图件、附表、附件</w:t>
      </w:r>
      <w:r>
        <w:rPr>
          <w:rFonts w:hint="eastAsia" w:ascii="仿宋_GB2312" w:hAnsi="仿宋_GB2312" w:eastAsia="仿宋_GB2312" w:cs="仿宋_GB2312"/>
          <w:sz w:val="32"/>
          <w:szCs w:val="32"/>
          <w:lang w:val="en-US" w:eastAsia="zh-CN"/>
        </w:rPr>
        <w:t>等资料</w:t>
      </w:r>
      <w:r>
        <w:rPr>
          <w:rFonts w:hint="eastAsia" w:ascii="仿宋_GB2312" w:hAnsi="仿宋_GB2312" w:eastAsia="仿宋_GB2312" w:cs="仿宋_GB2312"/>
          <w:sz w:val="32"/>
          <w:szCs w:val="32"/>
        </w:rPr>
        <w:t>纸质版</w:t>
      </w:r>
      <w:r>
        <w:rPr>
          <w:rFonts w:hint="eastAsia" w:ascii="仿宋_GB2312" w:hAnsi="仿宋_GB2312" w:eastAsia="仿宋_GB2312" w:cs="仿宋_GB2312"/>
          <w:sz w:val="32"/>
          <w:szCs w:val="32"/>
          <w:lang w:val="en-US" w:eastAsia="zh-CN"/>
        </w:rPr>
        <w:t>叁</w:t>
      </w:r>
      <w:r>
        <w:rPr>
          <w:rFonts w:hint="eastAsia" w:ascii="仿宋_GB2312" w:hAnsi="仿宋_GB2312" w:eastAsia="仿宋_GB2312" w:cs="仿宋_GB2312"/>
          <w:sz w:val="32"/>
          <w:szCs w:val="32"/>
        </w:rPr>
        <w:t>套，电子版：</w:t>
      </w:r>
      <w:r>
        <w:rPr>
          <w:rFonts w:hint="eastAsia" w:ascii="仿宋_GB2312" w:hAnsi="仿宋_GB2312" w:eastAsia="仿宋_GB2312" w:cs="仿宋_GB2312"/>
          <w:sz w:val="32"/>
          <w:szCs w:val="32"/>
          <w:lang w:val="en-US" w:eastAsia="zh-CN"/>
        </w:rPr>
        <w:t>按照保密文件要求提供保密</w:t>
      </w:r>
      <w:r>
        <w:rPr>
          <w:rFonts w:hint="eastAsia" w:ascii="仿宋_GB2312" w:hAnsi="仿宋_GB2312" w:eastAsia="仿宋_GB2312" w:cs="仿宋_GB2312"/>
          <w:sz w:val="32"/>
          <w:szCs w:val="32"/>
        </w:rPr>
        <w:t>U盘</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光盘</w:t>
      </w:r>
      <w:r>
        <w:rPr>
          <w:rFonts w:hint="eastAsia" w:ascii="仿宋_GB2312" w:hAnsi="仿宋_GB2312" w:eastAsia="仿宋_GB2312" w:cs="仿宋_GB2312"/>
          <w:sz w:val="32"/>
          <w:szCs w:val="32"/>
          <w:lang w:val="en-US" w:eastAsia="zh-CN"/>
        </w:rPr>
        <w:t>叁</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套）</w:t>
      </w:r>
      <w:r>
        <w:rPr>
          <w:rFonts w:hint="eastAsia" w:ascii="仿宋_GB2312" w:hAnsi="仿宋_GB2312" w:eastAsia="仿宋_GB2312" w:cs="仿宋_GB2312"/>
          <w:sz w:val="32"/>
          <w:szCs w:val="32"/>
        </w:rPr>
        <w:t>。</w:t>
      </w:r>
    </w:p>
    <w:p w14:paraId="67B03D5C">
      <w:pPr>
        <w:ind w:firstLine="640" w:firstLineChars="200"/>
        <w:rPr>
          <w:rFonts w:hint="eastAsia" w:ascii="黑体" w:hAnsi="黑体" w:eastAsia="黑体" w:cs="黑体"/>
          <w:sz w:val="32"/>
          <w:szCs w:val="32"/>
        </w:rPr>
      </w:pPr>
      <w:r>
        <w:rPr>
          <w:rFonts w:hint="eastAsia" w:ascii="黑体" w:hAnsi="黑体" w:eastAsia="黑体" w:cs="黑体"/>
          <w:sz w:val="32"/>
          <w:szCs w:val="32"/>
        </w:rPr>
        <w:t>第三条成果交付及服务周期</w:t>
      </w:r>
    </w:p>
    <w:p w14:paraId="4B7D46E6">
      <w:pPr>
        <w:numPr>
          <w:ilvl w:val="0"/>
          <w:numId w:val="1"/>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自合同签订之日起六个月内，提交完整规划成果并通过省、市级农业农村部门备案</w:t>
      </w:r>
      <w:r>
        <w:rPr>
          <w:rFonts w:hint="eastAsia" w:ascii="仿宋_GB2312" w:hAnsi="仿宋_GB2312" w:eastAsia="仿宋_GB2312" w:cs="仿宋_GB2312"/>
          <w:sz w:val="32"/>
          <w:szCs w:val="32"/>
          <w:lang w:val="en-US" w:eastAsia="zh-CN"/>
        </w:rPr>
        <w:t>审核</w:t>
      </w:r>
      <w:r>
        <w:rPr>
          <w:rFonts w:hint="eastAsia" w:ascii="仿宋_GB2312" w:hAnsi="仿宋_GB2312" w:eastAsia="仿宋_GB2312" w:cs="仿宋_GB2312"/>
          <w:sz w:val="32"/>
          <w:szCs w:val="32"/>
        </w:rPr>
        <w:t>；</w:t>
      </w:r>
    </w:p>
    <w:p w14:paraId="414A64DF">
      <w:pPr>
        <w:numPr>
          <w:ilvl w:val="0"/>
          <w:numId w:val="1"/>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后续技术支持</w:t>
      </w:r>
      <w:r>
        <w:rPr>
          <w:rFonts w:hint="eastAsia" w:ascii="仿宋_GB2312" w:hAnsi="仿宋_GB2312" w:eastAsia="仿宋_GB2312" w:cs="仿宋_GB2312"/>
          <w:sz w:val="32"/>
          <w:szCs w:val="32"/>
          <w:lang w:val="en-US" w:eastAsia="zh-CN"/>
        </w:rPr>
        <w:t>要求</w:t>
      </w:r>
      <w:r>
        <w:rPr>
          <w:rFonts w:hint="eastAsia" w:ascii="仿宋_GB2312" w:hAnsi="仿宋_GB2312" w:eastAsia="仿宋_GB2312" w:cs="仿宋_GB2312"/>
          <w:sz w:val="32"/>
          <w:szCs w:val="32"/>
        </w:rPr>
        <w:t>服务至规划首个实施年度结束。</w:t>
      </w:r>
    </w:p>
    <w:p w14:paraId="642413A7">
      <w:pPr>
        <w:ind w:firstLine="640" w:firstLineChars="200"/>
        <w:rPr>
          <w:rFonts w:hint="eastAsia" w:ascii="黑体" w:hAnsi="黑体" w:eastAsia="黑体" w:cs="黑体"/>
          <w:sz w:val="32"/>
          <w:szCs w:val="32"/>
        </w:rPr>
      </w:pPr>
      <w:r>
        <w:rPr>
          <w:rFonts w:hint="eastAsia" w:ascii="黑体" w:hAnsi="黑体" w:eastAsia="黑体" w:cs="黑体"/>
          <w:sz w:val="32"/>
          <w:szCs w:val="32"/>
        </w:rPr>
        <w:t>第四条服务费用及支付方式</w:t>
      </w:r>
    </w:p>
    <w:p w14:paraId="4D07D47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根据甲乙双方协商，本项目服务费用共计人民币：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大写：</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人民币</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圆</w:t>
      </w:r>
      <w:r>
        <w:rPr>
          <w:rFonts w:hint="eastAsia" w:ascii="仿宋_GB2312" w:hAnsi="仿宋_GB2312" w:eastAsia="仿宋_GB2312" w:cs="仿宋_GB2312"/>
          <w:sz w:val="32"/>
          <w:szCs w:val="32"/>
        </w:rPr>
        <w:t>整（</w:t>
      </w:r>
      <w:r>
        <w:rPr>
          <w:rFonts w:hint="eastAsia" w:ascii="仿宋_GB2312" w:hAnsi="仿宋_GB2312" w:eastAsia="仿宋_GB2312" w:cs="仿宋_GB2312"/>
          <w:sz w:val="32"/>
          <w:szCs w:val="32"/>
          <w:lang w:val="en-US" w:eastAsia="zh-CN"/>
        </w:rPr>
        <w:t>小写：</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14:paraId="3CC89AC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付款方式：</w:t>
      </w:r>
    </w:p>
    <w:p w14:paraId="42EEB11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项目通过审查后一次性全额支付。</w:t>
      </w:r>
    </w:p>
    <w:p w14:paraId="0F90CC86">
      <w:pPr>
        <w:ind w:firstLine="640" w:firstLineChars="200"/>
        <w:rPr>
          <w:rFonts w:hint="eastAsia" w:ascii="黑体" w:hAnsi="黑体" w:eastAsia="黑体" w:cs="黑体"/>
          <w:sz w:val="32"/>
          <w:szCs w:val="32"/>
        </w:rPr>
      </w:pPr>
      <w:r>
        <w:rPr>
          <w:rFonts w:hint="eastAsia" w:ascii="黑体" w:hAnsi="黑体" w:eastAsia="黑体" w:cs="黑体"/>
          <w:sz w:val="32"/>
          <w:szCs w:val="32"/>
        </w:rPr>
        <w:t>第五条双方义务、责任</w:t>
      </w:r>
    </w:p>
    <w:p w14:paraId="7EF4EEA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w:t>
      </w:r>
    </w:p>
    <w:p w14:paraId="350B27B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甲方应为乙方开展工作提供与项目有关的前期基础资料、规划文件等相关资料，并对资料的真实性、有效性负责。</w:t>
      </w:r>
    </w:p>
    <w:p w14:paraId="1298DE1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甲方应为乙方开展工作指定一名熟悉项目情况的项目联系人，配合乙方完成实地调研、意见征求、专家评审等工作。</w:t>
      </w:r>
    </w:p>
    <w:p w14:paraId="601DED1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甲方应按双方约定的付款方式及时向乙方支付服务费用，以确保项目顺利推进。</w:t>
      </w:r>
    </w:p>
    <w:p w14:paraId="4EF2334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甲方不得将未经乙方同意的项目有关编制资料和成果用于其他项目或提供给第三方使用。</w:t>
      </w:r>
    </w:p>
    <w:p w14:paraId="3FB622D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甲方要求乙方比合同规定时间提前交付成果时，须征得乙方同意，不得严重背离合理编制周期，且甲方应支付赶工费。</w:t>
      </w:r>
    </w:p>
    <w:p w14:paraId="213591A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p>
    <w:p w14:paraId="13B28856">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乙方应依据《县级高标准农田建设规划编制规范》（NY/T4731-2025）及国家、行业有关政策法令、规范标准，保质保量按时完成项目编制工作。</w:t>
      </w:r>
    </w:p>
    <w:p w14:paraId="70D20894">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乙方应组建核心成员不少于 5 人的项目团队，项目负责人具有中级及以上职称且有县级及以上高标准农田规划编制经验，不得擅自更换核心团队成员。</w:t>
      </w:r>
    </w:p>
    <w:p w14:paraId="2DC7FE13">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乙方完成的项目成果，应积极参加行政主管机关组织的项目审查会，并按照审查意见无偿修改完善，确保项目成果通过评审、审批及备案。</w:t>
      </w:r>
    </w:p>
    <w:p w14:paraId="3890781D">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由于乙方提供的编制成果质量不合格，乙方应负责无偿给予补充完善使其达到质量合格标准。</w:t>
      </w:r>
    </w:p>
    <w:p w14:paraId="2DE2DC05">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在现场工作的乙方人员，应遵守甲方的安全保卫及其他有关规章制度，对甲方提供的涉密资料承担保密义务，不得向第三方泄露。</w:t>
      </w:r>
    </w:p>
    <w:p w14:paraId="427A74C7">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乙方不得将本项目转包、分包给其他单位或个人，否则视为根本违约。</w:t>
      </w:r>
    </w:p>
    <w:p w14:paraId="42547711">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乙方在编制及后续服务过程中的安全责任由乙方全权负责。</w:t>
      </w:r>
    </w:p>
    <w:p w14:paraId="3A734D3A">
      <w:pPr>
        <w:ind w:firstLine="640" w:firstLineChars="200"/>
        <w:rPr>
          <w:rFonts w:hint="eastAsia" w:ascii="黑体" w:hAnsi="黑体" w:eastAsia="黑体" w:cs="黑体"/>
          <w:sz w:val="32"/>
          <w:szCs w:val="32"/>
        </w:rPr>
      </w:pPr>
      <w:r>
        <w:rPr>
          <w:rFonts w:hint="eastAsia" w:ascii="黑体" w:hAnsi="黑体" w:eastAsia="黑体" w:cs="黑体"/>
          <w:sz w:val="32"/>
          <w:szCs w:val="32"/>
        </w:rPr>
        <w:t>第六条违约责任</w:t>
      </w:r>
    </w:p>
    <w:p w14:paraId="3BB35ADF">
      <w:pPr>
        <w:numPr>
          <w:ilvl w:val="0"/>
          <w:numId w:val="3"/>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乙方不按合同规定的期限交付编制成果，每拖延 1 天，应向甲方缴纳服务费 0.5% 的违约金；逾期超过 30 日的，甲方有权解除合同，乙方需返还已付款项并赔偿损失。</w:t>
      </w:r>
    </w:p>
    <w:p w14:paraId="1C2996A2">
      <w:pPr>
        <w:numPr>
          <w:ilvl w:val="0"/>
          <w:numId w:val="3"/>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因甲方变更计划、提供资料不准确、未按期提供编制必须的资料或工作条件而造成编制工作的返工、窝工、非乙方质量原因的修改或变更，甲方应按乙方实际消耗工作量增加费用。</w:t>
      </w:r>
    </w:p>
    <w:p w14:paraId="4833A418">
      <w:pPr>
        <w:numPr>
          <w:ilvl w:val="0"/>
          <w:numId w:val="3"/>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因甲方项目安排不当等原因，造成编制工作重大返工、重做和无用工作量，除按原合同兑现已完成工作费用外，还应依据相关收费标准另行计收费用。</w:t>
      </w:r>
    </w:p>
    <w:p w14:paraId="183D8ED1">
      <w:pPr>
        <w:numPr>
          <w:ilvl w:val="0"/>
          <w:numId w:val="3"/>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乙方因规划编制不符合国家相关法律法规及规范标准而造成项目无法实施或无法通过审批备案的，乙方应无偿重新编制并赔偿甲方相应损失。</w:t>
      </w:r>
    </w:p>
    <w:p w14:paraId="64226E88">
      <w:pPr>
        <w:numPr>
          <w:ilvl w:val="0"/>
          <w:numId w:val="3"/>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甲方超过合同规定的日期付费时，应偿付逾期的违约金，每逾期 1 天，按该项目服务费的 0.5% 计算违约金。</w:t>
      </w:r>
    </w:p>
    <w:p w14:paraId="04CF76A0">
      <w:pPr>
        <w:ind w:firstLine="640" w:firstLineChars="200"/>
        <w:rPr>
          <w:rFonts w:hint="eastAsia" w:ascii="黑体" w:hAnsi="黑体" w:eastAsia="黑体" w:cs="黑体"/>
          <w:sz w:val="32"/>
          <w:szCs w:val="32"/>
        </w:rPr>
      </w:pPr>
      <w:r>
        <w:rPr>
          <w:rFonts w:hint="eastAsia" w:ascii="黑体" w:hAnsi="黑体" w:eastAsia="黑体" w:cs="黑体"/>
          <w:sz w:val="32"/>
          <w:szCs w:val="32"/>
        </w:rPr>
        <w:t>第七条其他</w:t>
      </w:r>
    </w:p>
    <w:p w14:paraId="5272C800">
      <w:pPr>
        <w:numPr>
          <w:ilvl w:val="0"/>
          <w:numId w:val="4"/>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本项目中，乙方不得指定相关材料、设备的生产厂或供货商。甲方需要乙方配合相关工作时，所需费用由甲方承担。</w:t>
      </w:r>
    </w:p>
    <w:p w14:paraId="77B99F44">
      <w:pPr>
        <w:numPr>
          <w:ilvl w:val="0"/>
          <w:numId w:val="4"/>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本合同服务费用已包含全部相关费用，不含其他额外费用，如需要由双方协商解决。</w:t>
      </w:r>
    </w:p>
    <w:p w14:paraId="21CD4C87">
      <w:pPr>
        <w:numPr>
          <w:ilvl w:val="0"/>
          <w:numId w:val="4"/>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因人力不可抗拒因素引起的工期拖延，由双方协商解决。</w:t>
      </w:r>
    </w:p>
    <w:p w14:paraId="7209F4FC">
      <w:pPr>
        <w:numPr>
          <w:ilvl w:val="0"/>
          <w:numId w:val="4"/>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双方在合同期内关于本项目的所有协商、来往函件、会议纪要等，均为合同的组成部分，与本合同具有同等法律效力。</w:t>
      </w:r>
    </w:p>
    <w:p w14:paraId="6E83CA85">
      <w:pPr>
        <w:numPr>
          <w:ilvl w:val="0"/>
          <w:numId w:val="4"/>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未尽事宜，经双方协商一致，签订补充协议，补充协议与本合同具有同等效力。</w:t>
      </w:r>
    </w:p>
    <w:p w14:paraId="375BBD1E">
      <w:pPr>
        <w:ind w:firstLine="640" w:firstLineChars="200"/>
        <w:rPr>
          <w:rFonts w:hint="eastAsia" w:ascii="黑体" w:hAnsi="黑体" w:eastAsia="黑体" w:cs="黑体"/>
          <w:sz w:val="32"/>
          <w:szCs w:val="32"/>
        </w:rPr>
      </w:pPr>
      <w:r>
        <w:rPr>
          <w:rFonts w:hint="eastAsia" w:ascii="黑体" w:hAnsi="黑体" w:eastAsia="黑体" w:cs="黑体"/>
          <w:sz w:val="32"/>
          <w:szCs w:val="32"/>
        </w:rPr>
        <w:t>第八条争议解决</w:t>
      </w:r>
    </w:p>
    <w:p w14:paraId="7A748E7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合同执行过程中如有争议，双方应及时协商解决。协商不成时，合同双方任何一方均可向人民法院起诉。</w:t>
      </w:r>
    </w:p>
    <w:p w14:paraId="48F0B4FA">
      <w:pPr>
        <w:ind w:firstLine="640" w:firstLineChars="200"/>
        <w:rPr>
          <w:rFonts w:hint="eastAsia" w:ascii="黑体" w:hAnsi="黑体" w:eastAsia="黑体" w:cs="黑体"/>
          <w:sz w:val="32"/>
          <w:szCs w:val="32"/>
        </w:rPr>
      </w:pPr>
      <w:r>
        <w:rPr>
          <w:rFonts w:hint="eastAsia" w:ascii="黑体" w:hAnsi="黑体" w:eastAsia="黑体" w:cs="黑体"/>
          <w:sz w:val="32"/>
          <w:szCs w:val="32"/>
        </w:rPr>
        <w:t>第九条合同生效与期限</w:t>
      </w:r>
    </w:p>
    <w:p w14:paraId="275D8A1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本合同经双方签字盖章后生效，合同有效期至规划首个实施年度结束。本合同一式肆份，双方各执贰份，具有同等法律效力。</w:t>
      </w:r>
    </w:p>
    <w:p w14:paraId="455400F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32A83085">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lang w:val="en-US" w:eastAsia="zh-CN"/>
        </w:rPr>
        <w:t>或委托</w:t>
      </w:r>
      <w:r>
        <w:rPr>
          <w:rFonts w:hint="eastAsia" w:ascii="仿宋_GB2312" w:hAnsi="仿宋_GB2312" w:eastAsia="仿宋_GB2312" w:cs="仿宋_GB2312"/>
          <w:sz w:val="32"/>
          <w:szCs w:val="32"/>
        </w:rPr>
        <w:t xml:space="preserve">            法定代表人</w:t>
      </w:r>
      <w:r>
        <w:rPr>
          <w:rFonts w:hint="eastAsia" w:ascii="仿宋_GB2312" w:hAnsi="仿宋_GB2312" w:eastAsia="仿宋_GB2312" w:cs="仿宋_GB2312"/>
          <w:sz w:val="32"/>
          <w:szCs w:val="32"/>
          <w:lang w:val="en-US" w:eastAsia="zh-CN"/>
        </w:rPr>
        <w:t>或委托</w:t>
      </w:r>
    </w:p>
    <w:p w14:paraId="5C6DE8E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代理人（签名）：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代理人（签名）：   </w:t>
      </w:r>
    </w:p>
    <w:p w14:paraId="2B7337F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p>
    <w:p w14:paraId="0F9FA29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时间：   年    月    日</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86AEC"/>
    <w:multiLevelType w:val="singleLevel"/>
    <w:tmpl w:val="90286AEC"/>
    <w:lvl w:ilvl="0" w:tentative="0">
      <w:start w:val="1"/>
      <w:numFmt w:val="chineseCounting"/>
      <w:suff w:val="nothing"/>
      <w:lvlText w:val="（%1）"/>
      <w:lvlJc w:val="left"/>
      <w:rPr>
        <w:rFonts w:hint="eastAsia"/>
      </w:rPr>
    </w:lvl>
  </w:abstractNum>
  <w:abstractNum w:abstractNumId="1">
    <w:nsid w:val="9D54B8A6"/>
    <w:multiLevelType w:val="singleLevel"/>
    <w:tmpl w:val="9D54B8A6"/>
    <w:lvl w:ilvl="0" w:tentative="0">
      <w:start w:val="1"/>
      <w:numFmt w:val="chineseCounting"/>
      <w:suff w:val="nothing"/>
      <w:lvlText w:val="（%1）"/>
      <w:lvlJc w:val="left"/>
      <w:rPr>
        <w:rFonts w:hint="eastAsia"/>
      </w:rPr>
    </w:lvl>
  </w:abstractNum>
  <w:abstractNum w:abstractNumId="2">
    <w:nsid w:val="A450D9E7"/>
    <w:multiLevelType w:val="singleLevel"/>
    <w:tmpl w:val="A450D9E7"/>
    <w:lvl w:ilvl="0" w:tentative="0">
      <w:start w:val="1"/>
      <w:numFmt w:val="chineseCounting"/>
      <w:suff w:val="nothing"/>
      <w:lvlText w:val="（%1）"/>
      <w:lvlJc w:val="left"/>
      <w:rPr>
        <w:rFonts w:hint="eastAsia"/>
      </w:rPr>
    </w:lvl>
  </w:abstractNum>
  <w:abstractNum w:abstractNumId="3">
    <w:nsid w:val="52763BC8"/>
    <w:multiLevelType w:val="singleLevel"/>
    <w:tmpl w:val="52763BC8"/>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246B3A"/>
    <w:rsid w:val="0439685E"/>
    <w:rsid w:val="07AF4E80"/>
    <w:rsid w:val="1C4A1108"/>
    <w:rsid w:val="358D3A4A"/>
    <w:rsid w:val="42ED6E2E"/>
    <w:rsid w:val="6524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474</Words>
  <Characters>522</Characters>
  <Lines>0</Lines>
  <Paragraphs>0</Paragraphs>
  <TotalTime>26</TotalTime>
  <ScaleCrop>false</ScaleCrop>
  <LinksUpToDate>false</LinksUpToDate>
  <CharactersWithSpaces>720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2026-03-26T09:22:00Z</dcterms:created>
  <dc:creator>惊蛰</dc:creator>
  <cp:lastModifiedBy>馍馍窝里的娃娃</cp:lastModifiedBy>
  <dcterms:modified xsi:type="dcterms:W3CDTF">2026-03-30T01:48:46Z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8970CB4F61434AE9848C5CDD258ADCBF_13</vt:lpwstr>
  </property>
  <property fmtid="{D5CDD505-2E9C-101B-9397-08002B2CF9AE}" pid="4" name="KSOTemplateDocerSaveRecord">
    <vt:lpwstr>eyJoZGlkIjoiNWQ5ZGEzNTI1Y2YzNTBkNDlhMGY0ZjQwZmJhMTQ3OWUiLCJ1c2VySWQiOiIxMjEyOTU0Mzg0In0=</vt:lpwstr>
  </property>
</Properties>
</file>