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版本号：SXCFY2026030420260331001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2026年蒲城县粮油作物促弱转壮项目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SXCFY20260304</w:t>
      </w:r>
      <w:r>
        <w:br/>
      </w:r>
      <w:r>
        <w:br/>
      </w:r>
      <w:r>
        <w:br/>
      </w:r>
    </w:p>
    <w:p>
      <w:pPr>
        <w:pStyle w:val="null3"/>
        <w:jc w:val="center"/>
        <w:outlineLvl w:val="2"/>
      </w:pPr>
      <w:r>
        <w:rPr>
          <w:rFonts w:ascii="仿宋_GB2312" w:hAnsi="仿宋_GB2312" w:cs="仿宋_GB2312" w:eastAsia="仿宋_GB2312"/>
          <w:sz w:val="28"/>
          <w:b/>
        </w:rPr>
        <w:t>蒲城县农业农村局</w:t>
      </w:r>
    </w:p>
    <w:p>
      <w:pPr>
        <w:pStyle w:val="null3"/>
        <w:jc w:val="center"/>
        <w:outlineLvl w:val="2"/>
      </w:pPr>
      <w:r>
        <w:rPr>
          <w:rFonts w:ascii="仿宋_GB2312" w:hAnsi="仿宋_GB2312" w:cs="仿宋_GB2312" w:eastAsia="仿宋_GB2312"/>
          <w:sz w:val="28"/>
          <w:b/>
        </w:rPr>
        <w:t>陕西诚方源项目管理有限公司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2026年03月31日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陕西诚方源项目管理有限公司</w:t>
      </w:r>
      <w:r>
        <w:rPr>
          <w:rFonts w:ascii="仿宋_GB2312" w:hAnsi="仿宋_GB2312" w:cs="仿宋_GB2312" w:eastAsia="仿宋_GB2312"/>
        </w:rPr>
        <w:t>（以下简称“代理机构”）受</w:t>
      </w:r>
      <w:r>
        <w:rPr>
          <w:rFonts w:ascii="仿宋_GB2312" w:hAnsi="仿宋_GB2312" w:cs="仿宋_GB2312" w:eastAsia="仿宋_GB2312"/>
        </w:rPr>
        <w:t>蒲城县农业农村局</w:t>
      </w:r>
      <w:r>
        <w:rPr>
          <w:rFonts w:ascii="仿宋_GB2312" w:hAnsi="仿宋_GB2312" w:cs="仿宋_GB2312" w:eastAsia="仿宋_GB2312"/>
        </w:rPr>
        <w:t>委托，拟对</w:t>
      </w:r>
      <w:r>
        <w:rPr>
          <w:rFonts w:ascii="仿宋_GB2312" w:hAnsi="仿宋_GB2312" w:cs="仿宋_GB2312" w:eastAsia="仿宋_GB2312"/>
        </w:rPr>
        <w:t>2026年蒲城县粮油作物促弱转壮项目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SXCFY20260304</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2026年蒲城县粮油作物促弱转壮项目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确保粮油苗情得到改善提升，有效保障粮食安全，防治对象：防治小麦赤霉病、白粉病、条锈病、蚜虫、吸浆虫兼治红蜘蛛等病虫害，喷施调节剂增产。采用无人机开展防治服务。</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农药资质：投标人为制造商须具备《农药登记证》、《农药生产许可证》、《产品执行标准》；投标人为代理商须具备《农药经营许可证》、同时需要提供制造厂家的《农药登记证》、《农药生产许可证》、《产品执行标准》；</w:t>
      </w:r>
    </w:p>
    <w:p>
      <w:pPr>
        <w:pStyle w:val="null3"/>
      </w:pPr>
      <w:r>
        <w:rPr>
          <w:rFonts w:ascii="仿宋_GB2312" w:hAnsi="仿宋_GB2312" w:cs="仿宋_GB2312" w:eastAsia="仿宋_GB2312"/>
        </w:rPr>
        <w:t>2、飞防资质：相关作业人员具有《植保无人机系统操作手合格证》</w:t>
      </w:r>
    </w:p>
    <w:p>
      <w:pPr>
        <w:pStyle w:val="null3"/>
      </w:pPr>
      <w:r>
        <w:rPr>
          <w:rFonts w:ascii="仿宋_GB2312" w:hAnsi="仿宋_GB2312" w:cs="仿宋_GB2312" w:eastAsia="仿宋_GB2312"/>
        </w:rPr>
        <w:t>3、法人授权书（证明书）：法定代表人参加投标时，提供法定代表人证明书；授权代表参加投标时，提供法定代表人授权书；非法人单位参照执行。</w:t>
      </w:r>
    </w:p>
    <w:p>
      <w:pPr>
        <w:pStyle w:val="null3"/>
      </w:pPr>
      <w:r>
        <w:rPr>
          <w:rFonts w:ascii="仿宋_GB2312" w:hAnsi="仿宋_GB2312" w:cs="仿宋_GB2312" w:eastAsia="仿宋_GB2312"/>
        </w:rPr>
        <w:t>4、信用信息：供应商不得为“中国执行信息公开网”（http://zxgk.court.gov.cn/shixin/）失信被执行人和“信用中国(www.creditchina.gov.cn)”中列入重大税收违法案件当事人名单的供应商，不得为中国政府采购网（www.ccgp.gov.cn）政府采购严重违法失信行为记录名单中被财政部门禁止参加政府采购活动的供应商。（供应商无需提供，以代理机构开标后现场查询记录为准 ）</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蒲城县农业农村局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渭南市蒲城县城关街道延安路东段20号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715500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曹瑜</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13110309988</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陕西诚方源项目管理有限公司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陕西省西安市新城区金花北路169号天彩大厦B座2001室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阮旭静</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029-89339538</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蒲城县政府采购管理股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惠老师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0913-7255613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采购包1保证金金额：20,000.00元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开户名称：陕西诚方源项目管理有限公司（缴纳保证金时请备注SXCFY20260304投标保证金）</w:t>
            </w:r>
          </w:p>
          <w:p>
            <w:pPr>
              <w:pStyle w:val="null3"/>
            </w:pPr>
            <w:r>
              <w:rPr>
                <w:rFonts w:ascii="仿宋_GB2312" w:hAnsi="仿宋_GB2312" w:cs="仿宋_GB2312" w:eastAsia="仿宋_GB2312"/>
              </w:rPr>
              <w:t>开户银行：中信银行股份有限公司西安咸宁路支行</w:t>
            </w:r>
          </w:p>
          <w:p>
            <w:pPr>
              <w:pStyle w:val="null3"/>
            </w:pPr>
            <w:r>
              <w:rPr>
                <w:rFonts w:ascii="仿宋_GB2312" w:hAnsi="仿宋_GB2312" w:cs="仿宋_GB2312" w:eastAsia="仿宋_GB2312"/>
              </w:rPr>
              <w:t>银行账号：8111701011600592875</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参照国家计委关于印发《招标代理服务收费管理暂行办法》的通知（计价格〔2002〕1980号）、《国家发展和改革委员会办公厅关于招标代理服务收费有关问题的通知》（发改办价格〔2003〕857号）规定的标准。 2、采购代理服务费账户： 公司名称：陕西诚方源项目管理有限公司 账 号: 8111701011600592875 开 户 行：中信银行股份有限公司西安咸宁路支行</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蒲城县农业农村局</w:t>
      </w:r>
      <w:r>
        <w:rPr>
          <w:rFonts w:ascii="仿宋_GB2312" w:hAnsi="仿宋_GB2312" w:cs="仿宋_GB2312" w:eastAsia="仿宋_GB2312"/>
        </w:rPr>
        <w:t>和</w:t>
      </w:r>
      <w:r>
        <w:rPr>
          <w:rFonts w:ascii="仿宋_GB2312" w:hAnsi="仿宋_GB2312" w:cs="仿宋_GB2312" w:eastAsia="仿宋_GB2312"/>
        </w:rPr>
        <w:t>陕西诚方源项目管理有限公司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蒲城县农业农村局</w:t>
      </w:r>
      <w:r>
        <w:rPr>
          <w:rFonts w:ascii="仿宋_GB2312" w:hAnsi="仿宋_GB2312" w:cs="仿宋_GB2312" w:eastAsia="仿宋_GB2312"/>
        </w:rPr>
        <w:t>负责解释。除上述招标文件内容，其他内容由</w:t>
      </w:r>
      <w:r>
        <w:rPr>
          <w:rFonts w:ascii="仿宋_GB2312" w:hAnsi="仿宋_GB2312" w:cs="仿宋_GB2312" w:eastAsia="仿宋_GB2312"/>
        </w:rPr>
        <w:t>陕西诚方源项目管理有限公司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蒲城县农业农村局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陕西诚方源项目管理有限公司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综合防治效果不低于85%，防治作业结束，防治区域镇村出具作业面积认定凭证并经农业技术人员验收。</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陕西诚方源项目管理有限公司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陕西诚方源项目管理有限公司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陕西诚方源项目管理有限公司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联系人：阮旭静</w:t>
      </w:r>
    </w:p>
    <w:p>
      <w:pPr>
        <w:pStyle w:val="null3"/>
      </w:pPr>
      <w:r>
        <w:rPr>
          <w:rFonts w:ascii="仿宋_GB2312" w:hAnsi="仿宋_GB2312" w:cs="仿宋_GB2312" w:eastAsia="仿宋_GB2312"/>
        </w:rPr>
        <w:t>联系电话：029-89339538</w:t>
      </w:r>
    </w:p>
    <w:p>
      <w:pPr>
        <w:pStyle w:val="null3"/>
      </w:pPr>
      <w:r>
        <w:rPr>
          <w:rFonts w:ascii="仿宋_GB2312" w:hAnsi="仿宋_GB2312" w:cs="仿宋_GB2312" w:eastAsia="仿宋_GB2312"/>
        </w:rPr>
        <w:t>地址：陕西省西安市新城区金花北路169号天彩大厦B座20层2001室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确保粮油苗情得到改善提升，有效保障粮食安全，防治对象：防治小麦赤霉病、白粉病、条锈病、蚜虫、吸浆虫兼治红蜘蛛等病虫害，喷施调节剂增产。采用无人机开展防治服务。</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1,000,000.00</w:t>
      </w:r>
    </w:p>
    <w:p>
      <w:pPr>
        <w:pStyle w:val="null3"/>
      </w:pPr>
      <w:r>
        <w:rPr>
          <w:rFonts w:ascii="仿宋_GB2312" w:hAnsi="仿宋_GB2312" w:cs="仿宋_GB2312" w:eastAsia="仿宋_GB2312"/>
        </w:rPr>
        <w:t>采购包最高限价（元）: 1,000,000.00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2026年蒲城县粮油作物促弱转壮项目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1,000,000.00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标的名称：2026年蒲城县粮油作物促弱转壮项目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ind w:firstLine="560"/>
              <w:jc w:val="both"/>
            </w:pPr>
            <w:r>
              <w:rPr>
                <w:rFonts w:ascii="仿宋_GB2312" w:hAnsi="仿宋_GB2312" w:cs="仿宋_GB2312" w:eastAsia="仿宋_GB2312"/>
                <w:sz w:val="28"/>
              </w:rPr>
              <w:t>防治小麦</w:t>
            </w:r>
            <w:r>
              <w:rPr>
                <w:rFonts w:ascii="仿宋_GB2312" w:hAnsi="仿宋_GB2312" w:cs="仿宋_GB2312" w:eastAsia="仿宋_GB2312"/>
                <w:sz w:val="28"/>
              </w:rPr>
              <w:t>赤霉病、白粉病、条锈病</w:t>
            </w:r>
            <w:r>
              <w:rPr>
                <w:rFonts w:ascii="仿宋_GB2312" w:hAnsi="仿宋_GB2312" w:cs="仿宋_GB2312" w:eastAsia="仿宋_GB2312"/>
                <w:sz w:val="28"/>
              </w:rPr>
              <w:t>、</w:t>
            </w:r>
            <w:r>
              <w:rPr>
                <w:rFonts w:ascii="仿宋_GB2312" w:hAnsi="仿宋_GB2312" w:cs="仿宋_GB2312" w:eastAsia="仿宋_GB2312"/>
                <w:sz w:val="28"/>
              </w:rPr>
              <w:t>蚜虫、吸浆虫</w:t>
            </w:r>
            <w:r>
              <w:rPr>
                <w:rFonts w:ascii="仿宋_GB2312" w:hAnsi="仿宋_GB2312" w:cs="仿宋_GB2312" w:eastAsia="仿宋_GB2312"/>
                <w:sz w:val="28"/>
              </w:rPr>
              <w:t>兼治红蜘蛛</w:t>
            </w:r>
            <w:r>
              <w:rPr>
                <w:rFonts w:ascii="仿宋_GB2312" w:hAnsi="仿宋_GB2312" w:cs="仿宋_GB2312" w:eastAsia="仿宋_GB2312"/>
                <w:sz w:val="28"/>
              </w:rPr>
              <w:t>等</w:t>
            </w:r>
            <w:r>
              <w:rPr>
                <w:rFonts w:ascii="仿宋_GB2312" w:hAnsi="仿宋_GB2312" w:cs="仿宋_GB2312" w:eastAsia="仿宋_GB2312"/>
                <w:sz w:val="28"/>
              </w:rPr>
              <w:t>病</w:t>
            </w:r>
            <w:r>
              <w:rPr>
                <w:rFonts w:ascii="仿宋_GB2312" w:hAnsi="仿宋_GB2312" w:cs="仿宋_GB2312" w:eastAsia="仿宋_GB2312"/>
                <w:sz w:val="28"/>
              </w:rPr>
              <w:t>虫害。喷施</w:t>
            </w:r>
            <w:r>
              <w:rPr>
                <w:rFonts w:ascii="仿宋_GB2312" w:hAnsi="仿宋_GB2312" w:cs="仿宋_GB2312" w:eastAsia="仿宋_GB2312"/>
                <w:sz w:val="28"/>
              </w:rPr>
              <w:t>调节剂</w:t>
            </w:r>
            <w:r>
              <w:rPr>
                <w:rFonts w:ascii="仿宋_GB2312" w:hAnsi="仿宋_GB2312" w:cs="仿宋_GB2312" w:eastAsia="仿宋_GB2312"/>
                <w:sz w:val="28"/>
              </w:rPr>
              <w:t>增产。</w:t>
            </w:r>
            <w:r>
              <w:rPr>
                <w:rFonts w:ascii="仿宋_GB2312" w:hAnsi="仿宋_GB2312" w:cs="仿宋_GB2312" w:eastAsia="仿宋_GB2312"/>
                <w:sz w:val="28"/>
              </w:rPr>
              <w:t>采用无人机开展防治服务。综合防治效果不低于85%，飞行高度4米以下。防治服务</w:t>
            </w:r>
            <w:r>
              <w:rPr>
                <w:rFonts w:ascii="仿宋_GB2312" w:hAnsi="仿宋_GB2312" w:cs="仿宋_GB2312" w:eastAsia="仿宋_GB2312"/>
                <w:sz w:val="28"/>
              </w:rPr>
              <w:t>价</w:t>
            </w:r>
            <w:r>
              <w:rPr>
                <w:rFonts w:ascii="仿宋_GB2312" w:hAnsi="仿宋_GB2312" w:cs="仿宋_GB2312" w:eastAsia="仿宋_GB2312"/>
                <w:sz w:val="28"/>
              </w:rPr>
              <w:t>格（包括药剂及飞防作业费）</w:t>
            </w:r>
            <w:r>
              <w:rPr>
                <w:rFonts w:ascii="仿宋_GB2312" w:hAnsi="仿宋_GB2312" w:cs="仿宋_GB2312" w:eastAsia="仿宋_GB2312"/>
                <w:sz w:val="28"/>
              </w:rPr>
              <w:t>≤</w:t>
            </w:r>
            <w:r>
              <w:rPr>
                <w:rFonts w:ascii="仿宋_GB2312" w:hAnsi="仿宋_GB2312" w:cs="仿宋_GB2312" w:eastAsia="仿宋_GB2312"/>
                <w:sz w:val="28"/>
              </w:rPr>
              <w:t>16.6</w:t>
            </w:r>
            <w:r>
              <w:rPr>
                <w:rFonts w:ascii="仿宋_GB2312" w:hAnsi="仿宋_GB2312" w:cs="仿宋_GB2312" w:eastAsia="仿宋_GB2312"/>
                <w:sz w:val="28"/>
              </w:rPr>
              <w:t>元</w:t>
            </w:r>
            <w:r>
              <w:rPr>
                <w:rFonts w:ascii="仿宋_GB2312" w:hAnsi="仿宋_GB2312" w:cs="仿宋_GB2312" w:eastAsia="仿宋_GB2312"/>
                <w:sz w:val="28"/>
              </w:rPr>
              <w:t>/亩。</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99"/>
              <w:gridCol w:w="402"/>
              <w:gridCol w:w="577"/>
              <w:gridCol w:w="1370"/>
            </w:tblGrid>
            <w:tr>
              <w:tc>
                <w:tcPr>
                  <w:tcW w:type="dxa" w:w="1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序号</w:t>
                  </w:r>
                </w:p>
              </w:tc>
              <w:tc>
                <w:tcPr>
                  <w:tcW w:type="dxa" w:w="4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名称</w:t>
                  </w:r>
                </w:p>
              </w:tc>
              <w:tc>
                <w:tcPr>
                  <w:tcW w:type="dxa" w:w="57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技术指标、参数</w:t>
                  </w:r>
                </w:p>
              </w:tc>
              <w:tc>
                <w:tcPr>
                  <w:tcW w:type="dxa" w:w="13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备注</w:t>
                  </w: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小麦病害防控药剂</w:t>
                  </w:r>
                </w:p>
              </w:tc>
              <w:tc>
                <w:tcPr>
                  <w:tcW w:type="dxa" w:w="5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丙硫菌唑亩有效成份</w:t>
                  </w:r>
                  <w:r>
                    <w:rPr>
                      <w:rFonts w:ascii="仿宋_GB2312" w:hAnsi="仿宋_GB2312" w:cs="仿宋_GB2312" w:eastAsia="仿宋_GB2312"/>
                      <w:sz w:val="24"/>
                    </w:rPr>
                    <w:t>≥</w:t>
                  </w:r>
                  <w:r>
                    <w:rPr>
                      <w:rFonts w:ascii="仿宋_GB2312" w:hAnsi="仿宋_GB2312" w:cs="仿宋_GB2312" w:eastAsia="仿宋_GB2312"/>
                      <w:sz w:val="24"/>
                    </w:rPr>
                    <w:t>8</w:t>
                  </w:r>
                  <w:r>
                    <w:rPr>
                      <w:rFonts w:ascii="仿宋_GB2312" w:hAnsi="仿宋_GB2312" w:cs="仿宋_GB2312" w:eastAsia="仿宋_GB2312"/>
                      <w:sz w:val="24"/>
                    </w:rPr>
                    <w:t>克</w:t>
                  </w:r>
                </w:p>
                <w:p>
                  <w:pPr>
                    <w:pStyle w:val="null3"/>
                    <w:jc w:val="left"/>
                  </w:pPr>
                  <w:r>
                    <w:rPr>
                      <w:rFonts w:ascii="仿宋_GB2312" w:hAnsi="仿宋_GB2312" w:cs="仿宋_GB2312" w:eastAsia="仿宋_GB2312"/>
                      <w:sz w:val="24"/>
                    </w:rPr>
                    <w:t>戊唑醇亩有效成份</w:t>
                  </w:r>
                  <w:r>
                    <w:rPr>
                      <w:rFonts w:ascii="仿宋_GB2312" w:hAnsi="仿宋_GB2312" w:cs="仿宋_GB2312" w:eastAsia="仿宋_GB2312"/>
                      <w:sz w:val="24"/>
                    </w:rPr>
                    <w:t>≥</w:t>
                  </w:r>
                  <w:r>
                    <w:rPr>
                      <w:rFonts w:ascii="仿宋_GB2312" w:hAnsi="仿宋_GB2312" w:cs="仿宋_GB2312" w:eastAsia="仿宋_GB2312"/>
                      <w:sz w:val="24"/>
                    </w:rPr>
                    <w:t>8</w:t>
                  </w:r>
                  <w:r>
                    <w:rPr>
                      <w:rFonts w:ascii="仿宋_GB2312" w:hAnsi="仿宋_GB2312" w:cs="仿宋_GB2312" w:eastAsia="仿宋_GB2312"/>
                      <w:sz w:val="24"/>
                    </w:rPr>
                    <w:t>克</w:t>
                  </w:r>
                </w:p>
              </w:tc>
              <w:tc>
                <w:tcPr>
                  <w:tcW w:type="dxa" w:w="1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使用丙硫菌唑与戊唑醇的复配制剂，适用于飞防。</w:t>
                  </w:r>
                </w:p>
                <w:p>
                  <w:pPr>
                    <w:pStyle w:val="null3"/>
                    <w:jc w:val="left"/>
                  </w:pP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小麦虫害防控药剂</w:t>
                  </w:r>
                </w:p>
              </w:tc>
              <w:tc>
                <w:tcPr>
                  <w:tcW w:type="dxa" w:w="5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联苯菊酯亩有效成份</w:t>
                  </w: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.25</w:t>
                  </w:r>
                  <w:r>
                    <w:rPr>
                      <w:rFonts w:ascii="仿宋_GB2312" w:hAnsi="仿宋_GB2312" w:cs="仿宋_GB2312" w:eastAsia="仿宋_GB2312"/>
                      <w:sz w:val="24"/>
                    </w:rPr>
                    <w:t>克</w:t>
                  </w:r>
                </w:p>
                <w:p>
                  <w:pPr>
                    <w:pStyle w:val="null3"/>
                    <w:jc w:val="left"/>
                  </w:pPr>
                  <w:r>
                    <w:rPr>
                      <w:rFonts w:ascii="仿宋_GB2312" w:hAnsi="仿宋_GB2312" w:cs="仿宋_GB2312" w:eastAsia="仿宋_GB2312"/>
                      <w:sz w:val="24"/>
                    </w:rPr>
                    <w:t>噻虫嗪</w:t>
                  </w:r>
                  <w:r>
                    <w:rPr>
                      <w:rFonts w:ascii="仿宋_GB2312" w:hAnsi="仿宋_GB2312" w:cs="仿宋_GB2312" w:eastAsia="仿宋_GB2312"/>
                      <w:sz w:val="24"/>
                    </w:rPr>
                    <w:t>亩有效成份</w:t>
                  </w: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25</w:t>
                  </w:r>
                  <w:r>
                    <w:rPr>
                      <w:rFonts w:ascii="仿宋_GB2312" w:hAnsi="仿宋_GB2312" w:cs="仿宋_GB2312" w:eastAsia="仿宋_GB2312"/>
                      <w:sz w:val="24"/>
                    </w:rPr>
                    <w:t>克</w:t>
                  </w:r>
                </w:p>
                <w:p>
                  <w:pPr>
                    <w:pStyle w:val="null3"/>
                    <w:jc w:val="left"/>
                  </w:pPr>
                </w:p>
              </w:tc>
              <w:tc>
                <w:tcPr>
                  <w:tcW w:type="dxa" w:w="1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使用联苯菊酯与</w:t>
                  </w:r>
                  <w:r>
                    <w:rPr>
                      <w:rFonts w:ascii="仿宋_GB2312" w:hAnsi="仿宋_GB2312" w:cs="仿宋_GB2312" w:eastAsia="仿宋_GB2312"/>
                      <w:sz w:val="24"/>
                    </w:rPr>
                    <w:t>噻虫嗪</w:t>
                  </w:r>
                  <w:r>
                    <w:rPr>
                      <w:rFonts w:ascii="仿宋_GB2312" w:hAnsi="仿宋_GB2312" w:cs="仿宋_GB2312" w:eastAsia="仿宋_GB2312"/>
                      <w:sz w:val="24"/>
                    </w:rPr>
                    <w:t>的复配制剂</w:t>
                  </w:r>
                  <w:r>
                    <w:rPr>
                      <w:rFonts w:ascii="仿宋_GB2312" w:hAnsi="仿宋_GB2312" w:cs="仿宋_GB2312" w:eastAsia="仿宋_GB2312"/>
                      <w:sz w:val="24"/>
                    </w:rPr>
                    <w:t>，</w:t>
                  </w:r>
                  <w:r>
                    <w:rPr>
                      <w:rFonts w:ascii="仿宋_GB2312" w:hAnsi="仿宋_GB2312" w:cs="仿宋_GB2312" w:eastAsia="仿宋_GB2312"/>
                      <w:sz w:val="24"/>
                    </w:rPr>
                    <w:t>适用于飞防。</w:t>
                  </w:r>
                </w:p>
                <w:p>
                  <w:pPr>
                    <w:pStyle w:val="null3"/>
                    <w:jc w:val="left"/>
                  </w:pP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调节剂增产</w:t>
                  </w:r>
                  <w:r>
                    <w:rPr>
                      <w:rFonts w:ascii="仿宋_GB2312" w:hAnsi="仿宋_GB2312" w:cs="仿宋_GB2312" w:eastAsia="仿宋_GB2312"/>
                      <w:sz w:val="24"/>
                    </w:rPr>
                    <w:t>药剂</w:t>
                  </w:r>
                </w:p>
              </w:tc>
              <w:tc>
                <w:tcPr>
                  <w:tcW w:type="dxa" w:w="5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28-</w:t>
                  </w:r>
                  <w:r>
                    <w:rPr>
                      <w:rFonts w:ascii="仿宋_GB2312" w:hAnsi="仿宋_GB2312" w:cs="仿宋_GB2312" w:eastAsia="仿宋_GB2312"/>
                      <w:sz w:val="24"/>
                    </w:rPr>
                    <w:t>高芸苔素内酯</w:t>
                  </w:r>
                  <w:r>
                    <w:rPr>
                      <w:rFonts w:ascii="仿宋_GB2312" w:hAnsi="仿宋_GB2312" w:cs="仿宋_GB2312" w:eastAsia="仿宋_GB2312"/>
                      <w:sz w:val="24"/>
                    </w:rPr>
                    <w:t>亩有效成份</w:t>
                  </w:r>
                  <w:r>
                    <w:rPr>
                      <w:rFonts w:ascii="仿宋_GB2312" w:hAnsi="仿宋_GB2312" w:cs="仿宋_GB2312" w:eastAsia="仿宋_GB2312"/>
                      <w:sz w:val="24"/>
                    </w:rPr>
                    <w:t>≥</w:t>
                  </w:r>
                  <w:r>
                    <w:rPr>
                      <w:rFonts w:ascii="仿宋_GB2312" w:hAnsi="仿宋_GB2312" w:cs="仿宋_GB2312" w:eastAsia="仿宋_GB2312"/>
                      <w:sz w:val="24"/>
                    </w:rPr>
                    <w:t>0.15</w:t>
                  </w:r>
                  <w:r>
                    <w:rPr>
                      <w:rFonts w:ascii="仿宋_GB2312" w:hAnsi="仿宋_GB2312" w:cs="仿宋_GB2312" w:eastAsia="仿宋_GB2312"/>
                      <w:sz w:val="24"/>
                    </w:rPr>
                    <w:t>克。</w:t>
                  </w:r>
                </w:p>
              </w:tc>
              <w:tc>
                <w:tcPr>
                  <w:tcW w:type="dxa" w:w="1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28-</w:t>
                  </w:r>
                  <w:r>
                    <w:rPr>
                      <w:rFonts w:ascii="仿宋_GB2312" w:hAnsi="仿宋_GB2312" w:cs="仿宋_GB2312" w:eastAsia="仿宋_GB2312"/>
                      <w:sz w:val="24"/>
                    </w:rPr>
                    <w:t>高芸苔素内酯</w:t>
                  </w:r>
                  <w:r>
                    <w:rPr>
                      <w:rFonts w:ascii="仿宋_GB2312" w:hAnsi="仿宋_GB2312" w:cs="仿宋_GB2312" w:eastAsia="仿宋_GB2312"/>
                      <w:sz w:val="24"/>
                    </w:rPr>
                    <w:t>，</w:t>
                  </w:r>
                  <w:r>
                    <w:rPr>
                      <w:rFonts w:ascii="仿宋_GB2312" w:hAnsi="仿宋_GB2312" w:cs="仿宋_GB2312" w:eastAsia="仿宋_GB2312"/>
                      <w:sz w:val="24"/>
                    </w:rPr>
                    <w:t>适用于飞防。</w:t>
                  </w:r>
                </w:p>
                <w:p>
                  <w:pPr>
                    <w:pStyle w:val="null3"/>
                    <w:jc w:val="left"/>
                  </w:pP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无人机防治</w:t>
                  </w:r>
                </w:p>
              </w:tc>
              <w:tc>
                <w:tcPr>
                  <w:tcW w:type="dxa" w:w="5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无人机飞防每亩不能少于</w:t>
                  </w:r>
                  <w:r>
                    <w:rPr>
                      <w:rFonts w:ascii="仿宋_GB2312" w:hAnsi="仿宋_GB2312" w:cs="仿宋_GB2312" w:eastAsia="仿宋_GB2312"/>
                      <w:sz w:val="24"/>
                    </w:rPr>
                    <w:t>3</w:t>
                  </w:r>
                  <w:r>
                    <w:rPr>
                      <w:rFonts w:ascii="仿宋_GB2312" w:hAnsi="仿宋_GB2312" w:cs="仿宋_GB2312" w:eastAsia="仿宋_GB2312"/>
                      <w:sz w:val="24"/>
                    </w:rPr>
                    <w:t>公斤</w:t>
                  </w:r>
                  <w:r>
                    <w:rPr>
                      <w:rFonts w:ascii="仿宋_GB2312" w:hAnsi="仿宋_GB2312" w:cs="仿宋_GB2312" w:eastAsia="仿宋_GB2312"/>
                      <w:sz w:val="24"/>
                    </w:rPr>
                    <w:t>喷液量</w:t>
                  </w:r>
                  <w:r>
                    <w:rPr>
                      <w:rFonts w:ascii="仿宋_GB2312" w:hAnsi="仿宋_GB2312" w:cs="仿宋_GB2312" w:eastAsia="仿宋_GB2312"/>
                      <w:sz w:val="24"/>
                    </w:rPr>
                    <w:t>，飞行速度</w:t>
                  </w: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米</w:t>
                  </w:r>
                  <w:r>
                    <w:rPr>
                      <w:rFonts w:ascii="仿宋_GB2312" w:hAnsi="仿宋_GB2312" w:cs="仿宋_GB2312" w:eastAsia="仿宋_GB2312"/>
                      <w:sz w:val="24"/>
                    </w:rPr>
                    <w:t>/</w:t>
                  </w:r>
                  <w:r>
                    <w:rPr>
                      <w:rFonts w:ascii="仿宋_GB2312" w:hAnsi="仿宋_GB2312" w:cs="仿宋_GB2312" w:eastAsia="仿宋_GB2312"/>
                      <w:sz w:val="24"/>
                    </w:rPr>
                    <w:t>秒。飞行高度≤4米。</w:t>
                  </w:r>
                </w:p>
              </w:tc>
              <w:tc>
                <w:tcPr>
                  <w:tcW w:type="dxa" w:w="13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根据小麦生育期及重大病虫发生危害实际情况，于2026年4月中下旬-5月初适时组织实施。（具体时间按甲方要求）</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渭南市蒲城县</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防治作业结束，防治区域镇村出具作业面积认定凭证并经农业技术人员验收合格，项目专项资金到位后 </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综合防治效果不低于85%，防治作业结束，防治区域镇村出具作业面积认定凭证并经农业技术人员验收。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本项目保修期自作业验收合格之日起计算，保修期为 90天。保修期内，因乙方喷洒质量、药剂质量、作业不到位等原因造成防治效果未达到约定标准的，由乙方无偿重新防治，并承担由此产生的全部费用。</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一、违约责任 供应商逾期喷洒：每逾期1日，按合同总额0.5‰付违约金；超7日，甲方可解约、退款、追责。操作不当致药害、减产：无条件退款+赔偿全部实际损失。未按约定标准作业：免费返工，仍不达标按合同额20%付违约金。采购人无故拒收、擅自变更：赔偿乙方实际损失。 二、争议解决 因本合同发生争议，双方先友好协商；协商不成，任一方可向甲方所在地人民法院提起诉讼。</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1、“3.4商务要求”为实质性要求，未完全响应或负偏离按无效投标处理。2、根据《政府采购法实施条例》释义，银行、保 险、石油石化、电力、电信等有行业特殊情况的，允许法人的分支机构参加政府采购活动。3、中标(成交)供应商在中标(成交)结果公告发布后3个工作日内提供叁套投标文件(经编标工具生成的文件直接打印加盖公章），递交的纸质版文件内容确保与线上电子版保持一致，不允许修改和补充。</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具有财务审计资质单位出具的完整的2024年度或2025年度的财务报告（成立时间至投标文件递交截止时间不足一年的可提供成立后任意时段的资产负债表、利润表、现金流量表）或投标文件递交截止时间前六个月内其开户银行出具的资信证明或担保函；注：根据“【财办2022】32号”的规定，2022年后出具的审计报告须在注册会计师行业统一监管平台http://acc.mof.gov.cn/qrcapp/search.htmltimestamp=1709602157914)进行自动赋码验证，未赋码的视为审计报告无效。（代理机构在资格审查环节在线对各投标单位财务审计报告进行查询，并对查询结果截图保存，若在注册会计师行业统一监管平台无法查询，将视为不响应）</w:t>
            </w:r>
          </w:p>
        </w:tc>
        <w:tc>
          <w:tcPr>
            <w:tcW w:type="dxa" w:w="1661"/>
          </w:tcPr>
          <w:p>
            <w:pPr>
              <w:pStyle w:val="null3"/>
            </w:pPr>
            <w:r>
              <w:rPr>
                <w:rFonts w:ascii="仿宋_GB2312" w:hAnsi="仿宋_GB2312" w:cs="仿宋_GB2312" w:eastAsia="仿宋_GB2312"/>
              </w:rPr>
              <w:t>3、基本资格要求.docx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供应商需在项目电子化交易系统中按要求填写《投标函》完成承诺及基本资格要求内填写《供应商企业关系关联承诺书》并进行电子签章。</w:t>
            </w:r>
          </w:p>
        </w:tc>
        <w:tc>
          <w:tcPr>
            <w:tcW w:type="dxa" w:w="1661"/>
          </w:tcPr>
          <w:p>
            <w:pPr>
              <w:pStyle w:val="null3"/>
            </w:pPr>
            <w:r>
              <w:rPr>
                <w:rFonts w:ascii="仿宋_GB2312" w:hAnsi="仿宋_GB2312" w:cs="仿宋_GB2312" w:eastAsia="仿宋_GB2312"/>
              </w:rPr>
              <w:t>投标函 3、基本资格要求.docx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提供2025年6月至今（税款所属日期）已缴纳的至少一个月的纳税证明或完税证明（任意税种），依法免税的单位应提供相关证明材料。</w:t>
            </w:r>
          </w:p>
        </w:tc>
        <w:tc>
          <w:tcPr>
            <w:tcW w:type="dxa" w:w="1661"/>
          </w:tcPr>
          <w:p>
            <w:pPr>
              <w:pStyle w:val="null3"/>
            </w:pPr>
            <w:r>
              <w:rPr>
                <w:rFonts w:ascii="仿宋_GB2312" w:hAnsi="仿宋_GB2312" w:cs="仿宋_GB2312" w:eastAsia="仿宋_GB2312"/>
              </w:rPr>
              <w:t>3、基本资格要求.docx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提供2025年6月至今已缴存的至少一个月的社会保障资金缴存凭证或社保机构开具的社会保险参保证明，依法不需要缴纳社会保障资金的单位应提供相关证明材料。</w:t>
            </w:r>
          </w:p>
        </w:tc>
        <w:tc>
          <w:tcPr>
            <w:tcW w:type="dxa" w:w="1661"/>
          </w:tcPr>
          <w:p>
            <w:pPr>
              <w:pStyle w:val="null3"/>
            </w:pPr>
            <w:r>
              <w:rPr>
                <w:rFonts w:ascii="仿宋_GB2312" w:hAnsi="仿宋_GB2312" w:cs="仿宋_GB2312" w:eastAsia="仿宋_GB2312"/>
              </w:rPr>
              <w:t>3、基本资格要求.docx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w:t>
            </w:r>
          </w:p>
        </w:tc>
        <w:tc>
          <w:tcPr>
            <w:tcW w:type="dxa" w:w="3322"/>
          </w:tcPr>
          <w:p>
            <w:pPr>
              <w:pStyle w:val="null3"/>
            </w:pPr>
            <w:r>
              <w:rPr>
                <w:rFonts w:ascii="仿宋_GB2312" w:hAnsi="仿宋_GB2312" w:cs="仿宋_GB2312" w:eastAsia="仿宋_GB2312"/>
              </w:rPr>
              <w:t>提供具有履行合同所必需的设备和专业技术能力的承诺声明。</w:t>
            </w:r>
          </w:p>
        </w:tc>
        <w:tc>
          <w:tcPr>
            <w:tcW w:type="dxa" w:w="1661"/>
          </w:tcPr>
          <w:p>
            <w:pPr>
              <w:pStyle w:val="null3"/>
            </w:pPr>
            <w:r>
              <w:rPr>
                <w:rFonts w:ascii="仿宋_GB2312" w:hAnsi="仿宋_GB2312" w:cs="仿宋_GB2312" w:eastAsia="仿宋_GB2312"/>
              </w:rPr>
              <w:t>3、基本资格要求.docx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提供参加政府采购活动前3年内，在经营活动中没有重大违法记录的书面声明。</w:t>
            </w:r>
          </w:p>
        </w:tc>
        <w:tc>
          <w:tcPr>
            <w:tcW w:type="dxa" w:w="1661"/>
          </w:tcPr>
          <w:p>
            <w:pPr>
              <w:pStyle w:val="null3"/>
            </w:pPr>
            <w:r>
              <w:rPr>
                <w:rFonts w:ascii="仿宋_GB2312" w:hAnsi="仿宋_GB2312" w:cs="仿宋_GB2312" w:eastAsia="仿宋_GB2312"/>
              </w:rPr>
              <w:t>3、基本资格要求.docx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营业执照等主体证明材料</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3、基本资格要求.docx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农药资质</w:t>
            </w:r>
          </w:p>
        </w:tc>
        <w:tc>
          <w:tcPr>
            <w:tcW w:type="dxa" w:w="3322"/>
          </w:tcPr>
          <w:p>
            <w:pPr>
              <w:pStyle w:val="null3"/>
            </w:pPr>
            <w:r>
              <w:rPr>
                <w:rFonts w:ascii="仿宋_GB2312" w:hAnsi="仿宋_GB2312" w:cs="仿宋_GB2312" w:eastAsia="仿宋_GB2312"/>
              </w:rPr>
              <w:t>投标人为制造商须具备《农药登记证》、《农药生产许可证》、《产品执行标准》；投标人为代理商须具备《农药经营许可证》、同时需要提供制造厂家的《农药登记证》、《农药生产许可证》、《产品执行标准》；</w:t>
            </w:r>
          </w:p>
        </w:tc>
        <w:tc>
          <w:tcPr>
            <w:tcW w:type="dxa" w:w="1661"/>
          </w:tcPr>
          <w:p>
            <w:pPr>
              <w:pStyle w:val="null3"/>
            </w:pPr>
            <w:r>
              <w:rPr>
                <w:rFonts w:ascii="仿宋_GB2312" w:hAnsi="仿宋_GB2312" w:cs="仿宋_GB2312" w:eastAsia="仿宋_GB2312"/>
              </w:rPr>
              <w:t>4、特殊资格要求.docx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飞防资质</w:t>
            </w:r>
          </w:p>
        </w:tc>
        <w:tc>
          <w:tcPr>
            <w:tcW w:type="dxa" w:w="3322"/>
          </w:tcPr>
          <w:p>
            <w:pPr>
              <w:pStyle w:val="null3"/>
            </w:pPr>
            <w:r>
              <w:rPr>
                <w:rFonts w:ascii="仿宋_GB2312" w:hAnsi="仿宋_GB2312" w:cs="仿宋_GB2312" w:eastAsia="仿宋_GB2312"/>
              </w:rPr>
              <w:t>相关作业人员具有《植保无人机系统操作手合格证》</w:t>
            </w:r>
          </w:p>
        </w:tc>
        <w:tc>
          <w:tcPr>
            <w:tcW w:type="dxa" w:w="1661"/>
          </w:tcPr>
          <w:p>
            <w:pPr>
              <w:pStyle w:val="null3"/>
            </w:pPr>
            <w:r>
              <w:rPr>
                <w:rFonts w:ascii="仿宋_GB2312" w:hAnsi="仿宋_GB2312" w:cs="仿宋_GB2312" w:eastAsia="仿宋_GB2312"/>
              </w:rPr>
              <w:t>4、特殊资格要求.docx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法人授权书（证明书）</w:t>
            </w:r>
          </w:p>
        </w:tc>
        <w:tc>
          <w:tcPr>
            <w:tcW w:type="dxa" w:w="3322"/>
          </w:tcPr>
          <w:p>
            <w:pPr>
              <w:pStyle w:val="null3"/>
            </w:pPr>
            <w:r>
              <w:rPr>
                <w:rFonts w:ascii="仿宋_GB2312" w:hAnsi="仿宋_GB2312" w:cs="仿宋_GB2312" w:eastAsia="仿宋_GB2312"/>
              </w:rPr>
              <w:t>法定代表人参加投标时，提供法定代表人证明书；授权代表参加投标时，提供法定代表人授权书；非法人单位参照执行。</w:t>
            </w:r>
          </w:p>
        </w:tc>
        <w:tc>
          <w:tcPr>
            <w:tcW w:type="dxa" w:w="1661"/>
          </w:tcPr>
          <w:p>
            <w:pPr>
              <w:pStyle w:val="null3"/>
            </w:pPr>
            <w:r>
              <w:rPr>
                <w:rFonts w:ascii="仿宋_GB2312" w:hAnsi="仿宋_GB2312" w:cs="仿宋_GB2312" w:eastAsia="仿宋_GB2312"/>
              </w:rPr>
              <w:t>4、特殊资格要求.docx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供应商不得为“中国执行信息公开网”（http://zxgk.court.gov.cn/shixin/）失信被执行人和“信用中国(www.creditchina.gov.cn)”中列入重大税收违法案件当事人名单的供应商，不得为中国政府采购网（www.ccgp.gov.cn）政府采购严重违法失信行为记录名单中被财政部门禁止参加政府采购活动的供应商。（供应商无需提供，以代理机构开标后现场查询记录为准 ）</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相关法律法规对供应商报价有规定的，从其规定。 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 注：如启动异常低价投标（响应）审查程序，投标人须在发起程序的40分钟内提供书面声明，若未在规定时间内提供，视为不响应。</w:t>
            </w:r>
          </w:p>
        </w:tc>
        <w:tc>
          <w:tcPr>
            <w:tcW w:type="dxa" w:w="1661"/>
          </w:tcPr>
          <w:p>
            <w:pPr>
              <w:pStyle w:val="null3"/>
            </w:pPr>
            <w:r>
              <w:rPr>
                <w:rFonts w:ascii="仿宋_GB2312" w:hAnsi="仿宋_GB2312" w:cs="仿宋_GB2312" w:eastAsia="仿宋_GB2312"/>
              </w:rPr>
              <w:t>开标一览表 1、分项报价表.docx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商务条款</w:t>
            </w:r>
          </w:p>
        </w:tc>
        <w:tc>
          <w:tcPr>
            <w:tcW w:type="dxa" w:w="3322"/>
          </w:tcPr>
          <w:p>
            <w:pPr>
              <w:pStyle w:val="null3"/>
            </w:pPr>
            <w:r>
              <w:rPr>
                <w:rFonts w:ascii="仿宋_GB2312" w:hAnsi="仿宋_GB2312" w:cs="仿宋_GB2312" w:eastAsia="仿宋_GB2312"/>
              </w:rPr>
              <w:t>招标文件商务要求响应情况，若负偏离，投标无效。</w:t>
            </w:r>
          </w:p>
        </w:tc>
        <w:tc>
          <w:tcPr>
            <w:tcW w:type="dxa" w:w="1661"/>
          </w:tcPr>
          <w:p>
            <w:pPr>
              <w:pStyle w:val="null3"/>
            </w:pPr>
            <w:r>
              <w:rPr>
                <w:rFonts w:ascii="仿宋_GB2312" w:hAnsi="仿宋_GB2312" w:cs="仿宋_GB2312" w:eastAsia="仿宋_GB2312"/>
              </w:rPr>
              <w:t>6、商务响应表.docx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技术条款</w:t>
            </w:r>
          </w:p>
        </w:tc>
        <w:tc>
          <w:tcPr>
            <w:tcW w:type="dxa" w:w="3322"/>
          </w:tcPr>
          <w:p>
            <w:pPr>
              <w:pStyle w:val="null3"/>
            </w:pPr>
            <w:r>
              <w:rPr>
                <w:rFonts w:ascii="仿宋_GB2312" w:hAnsi="仿宋_GB2312" w:cs="仿宋_GB2312" w:eastAsia="仿宋_GB2312"/>
              </w:rPr>
              <w:t>招标文件技术要求响应情况，若负偏离， 投标无效。</w:t>
            </w:r>
          </w:p>
        </w:tc>
        <w:tc>
          <w:tcPr>
            <w:tcW w:type="dxa" w:w="1661"/>
          </w:tcPr>
          <w:p>
            <w:pPr>
              <w:pStyle w:val="null3"/>
            </w:pPr>
            <w:r>
              <w:rPr>
                <w:rFonts w:ascii="仿宋_GB2312" w:hAnsi="仿宋_GB2312" w:cs="仿宋_GB2312" w:eastAsia="仿宋_GB2312"/>
              </w:rPr>
              <w:t>5、技术指标偏离表.docx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投标有效期不少于招标文件要求，否则其投标无效。</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其他实质性条款</w:t>
            </w:r>
          </w:p>
        </w:tc>
        <w:tc>
          <w:tcPr>
            <w:tcW w:type="dxa" w:w="3322"/>
          </w:tcPr>
          <w:p>
            <w:pPr>
              <w:pStyle w:val="null3"/>
            </w:pPr>
            <w:r>
              <w:rPr>
                <w:rFonts w:ascii="仿宋_GB2312" w:hAnsi="仿宋_GB2312" w:cs="仿宋_GB2312" w:eastAsia="仿宋_GB2312"/>
              </w:rPr>
              <w:t>出现不符合法律法规和招标文件中规定的其他实质性要求的情况，投标无效。</w:t>
            </w:r>
          </w:p>
        </w:tc>
        <w:tc>
          <w:tcPr>
            <w:tcW w:type="dxa" w:w="1661"/>
          </w:tcPr>
          <w:p>
            <w:pPr>
              <w:pStyle w:val="null3"/>
            </w:pPr>
            <w:r>
              <w:rPr>
                <w:rFonts w:ascii="仿宋_GB2312" w:hAnsi="仿宋_GB2312" w:cs="仿宋_GB2312" w:eastAsia="仿宋_GB2312"/>
              </w:rPr>
              <w:t>11、应急处理措施.docx 7、总体方案.docx 中小企业声明函 2、陕西省政府采购供应商拒绝政府采购领域商业贿赂承诺书.docx 5、技术指标偏离表.docx 15、服务承诺.docx 投标函 8、作业方法.docx 残疾人福利性单位声明函 1、分项报价表.docx 标的清单 3、基本资格要求.docx 投标文件封面 13、业绩.docx 6、商务响应表.docx 10、质量保证措施.docx 9、实施方案.docx 监狱企业的证明文件 12、安全保障措施.docx 14、其他人员配备情况.docx 4、特殊资格要求.docx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供应商拒绝政府采购领域商业贿赂承诺书</w:t>
            </w:r>
          </w:p>
        </w:tc>
        <w:tc>
          <w:tcPr>
            <w:tcW w:type="dxa" w:w="3322"/>
          </w:tcPr>
          <w:p>
            <w:pPr>
              <w:pStyle w:val="null3"/>
            </w:pPr>
            <w:r>
              <w:rPr>
                <w:rFonts w:ascii="仿宋_GB2312" w:hAnsi="仿宋_GB2312" w:cs="仿宋_GB2312" w:eastAsia="仿宋_GB2312"/>
              </w:rPr>
              <w:t>供应商未提供拒绝政府采购领域商业贿赂承诺书，投标无效。</w:t>
            </w:r>
          </w:p>
        </w:tc>
        <w:tc>
          <w:tcPr>
            <w:tcW w:type="dxa" w:w="1661"/>
          </w:tcPr>
          <w:p>
            <w:pPr>
              <w:pStyle w:val="null3"/>
            </w:pPr>
            <w:r>
              <w:rPr>
                <w:rFonts w:ascii="仿宋_GB2312" w:hAnsi="仿宋_GB2312" w:cs="仿宋_GB2312" w:eastAsia="仿宋_GB2312"/>
              </w:rPr>
              <w:t>2、陕西省政府采购供应商拒绝政府采购领域商业贿赂承诺书.docx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供应商的投标报价超过最高限价单价或未按招标文件要求提供分项报价表，投标无效。</w:t>
            </w:r>
          </w:p>
        </w:tc>
        <w:tc>
          <w:tcPr>
            <w:tcW w:type="dxa" w:w="1661"/>
          </w:tcPr>
          <w:p>
            <w:pPr>
              <w:pStyle w:val="null3"/>
            </w:pPr>
            <w:r>
              <w:rPr>
                <w:rFonts w:ascii="仿宋_GB2312" w:hAnsi="仿宋_GB2312" w:cs="仿宋_GB2312" w:eastAsia="仿宋_GB2312"/>
              </w:rPr>
              <w:t>1、分项报价表.docx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总体方案</w:t>
            </w:r>
          </w:p>
        </w:tc>
        <w:tc>
          <w:tcPr>
            <w:tcW w:type="dxa" w:w="2492"/>
          </w:tcPr>
          <w:p>
            <w:pPr>
              <w:pStyle w:val="null3"/>
            </w:pPr>
            <w:r>
              <w:rPr>
                <w:rFonts w:ascii="仿宋_GB2312" w:hAnsi="仿宋_GB2312" w:cs="仿宋_GB2312" w:eastAsia="仿宋_GB2312"/>
              </w:rPr>
              <w:t>评审内容： 供应商针对本项目制定的总体方案，包含①项目需求理解；②作业进度安排；③技术组织保障措施；④整体管理措施。 评审标准： 每一条评审内容不存在缺陷得3分；每有一条评审内容出现一处缺陷扣0.5分，扣完为止；未提供得0分。(缺陷是指：①编制内容与项目不吻合、层次未细化；②阐述未从实际出发，不切合项目背景及需求；③存在抄袭或套用其他地区或项目内容；④前后逻辑错误、存在歧义；⑤无具体详细的阐述、实施性不强；⑥科学原理或常识错误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7、总体方案.docx</w:t>
            </w:r>
          </w:p>
        </w:tc>
      </w:tr>
      <w:tr>
        <w:tc>
          <w:tcPr>
            <w:tcW w:type="dxa" w:w="831"/>
            <w:vMerge/>
          </w:tcPr>
          <w:p/>
        </w:tc>
        <w:tc>
          <w:tcPr>
            <w:tcW w:type="dxa" w:w="1661"/>
          </w:tcPr>
          <w:p>
            <w:pPr>
              <w:pStyle w:val="null3"/>
            </w:pPr>
            <w:r>
              <w:rPr>
                <w:rFonts w:ascii="仿宋_GB2312" w:hAnsi="仿宋_GB2312" w:cs="仿宋_GB2312" w:eastAsia="仿宋_GB2312"/>
              </w:rPr>
              <w:t>作业方法</w:t>
            </w:r>
          </w:p>
        </w:tc>
        <w:tc>
          <w:tcPr>
            <w:tcW w:type="dxa" w:w="2492"/>
          </w:tcPr>
          <w:p>
            <w:pPr>
              <w:pStyle w:val="null3"/>
            </w:pPr>
            <w:r>
              <w:rPr>
                <w:rFonts w:ascii="仿宋_GB2312" w:hAnsi="仿宋_GB2312" w:cs="仿宋_GB2312" w:eastAsia="仿宋_GB2312"/>
              </w:rPr>
              <w:t>评审内容： 方案包含①作业器械选择方案；②无人机作业方案。 评审标准： 按照供应商编制内容依据评审标准每项得3分；每有一项内容出现一处存在缺陷的扣0.5分，未提供得0分。(缺陷是指：①编制内容与项目不吻合、层次未细化；②阐述未从实际出发，不切合项目背景及需求；③存在抄袭或套用其他地区或项目内容；④前后逻辑错误、存在歧义；⑤无具体详细的阐述、实施性不强；⑥科学原理或常识错误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8、作业方法.docx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评审内容： 供应商针对本项目制定的总体方案，包含①作业面的划分；②病虫害防治。 评审标准： 每一条评审内容不存在缺陷得4分；每有一条评审内容出现一处缺陷扣0.5分，扣完为止；未提供得0分。(缺陷是指：①编制内容与项目不吻合、层次未细化；②阐述未从实际出发，不切合项目背景及需求；③存在抄袭或套用其他地区或项目内容；④前后逻辑错误、存在歧义；⑤无具体详细的阐述、实施性不强；⑥科学原理或常识错误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9、实施方案.docx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评审内容： 质量保证措施包含①服务质量保障体系；②药剂用量标准；③效果验收措施。 评审标准： 按照供应商编制内容依据评审标准每项得3分；每有一项内容出现一处存在缺陷的扣0.5分，未提供得0分。(缺陷是指：①编制内容与项目不吻合、层次未细化；②阐述未从实际出发，不切合项目背景及需求；③存在抄袭或套用其他地区或项目内容；④前后逻辑错误、存在歧义；⑤无具体详细的阐述、实施性不强；⑥科学原理或常识错误等。)</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10、质量保证措施.docx</w:t>
            </w:r>
          </w:p>
        </w:tc>
      </w:tr>
      <w:tr>
        <w:tc>
          <w:tcPr>
            <w:tcW w:type="dxa" w:w="831"/>
            <w:vMerge/>
          </w:tcPr>
          <w:p/>
        </w:tc>
        <w:tc>
          <w:tcPr>
            <w:tcW w:type="dxa" w:w="1661"/>
          </w:tcPr>
          <w:p>
            <w:pPr>
              <w:pStyle w:val="null3"/>
            </w:pPr>
            <w:r>
              <w:rPr>
                <w:rFonts w:ascii="仿宋_GB2312" w:hAnsi="仿宋_GB2312" w:cs="仿宋_GB2312" w:eastAsia="仿宋_GB2312"/>
              </w:rPr>
              <w:t>应急处理措施</w:t>
            </w:r>
          </w:p>
        </w:tc>
        <w:tc>
          <w:tcPr>
            <w:tcW w:type="dxa" w:w="2492"/>
          </w:tcPr>
          <w:p>
            <w:pPr>
              <w:pStyle w:val="null3"/>
            </w:pPr>
            <w:r>
              <w:rPr>
                <w:rFonts w:ascii="仿宋_GB2312" w:hAnsi="仿宋_GB2312" w:cs="仿宋_GB2312" w:eastAsia="仿宋_GB2312"/>
              </w:rPr>
              <w:t>评审内容： 包含：①在作业过程中出现突发问题的应急处置方案；②应急响应时间；③出现突发状况应急人员安排。 评审标准： 按照供应商编制内容依据评审标准每项得3分；每有一项内容出现一处存在缺陷的扣0.5分，未提供得0分。(缺陷是指：①编制内容与项目不吻合、层次未细化；②阐述未从实际出发，不切合项目背景及需求；③存在抄袭或套用其他地区或项目内容；④前后逻辑错误、存在歧义；⑤无具体详细的阐述、实施性不强；⑥科学原理或常识错误等。)</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11、应急处理措施.docx</w:t>
            </w:r>
          </w:p>
        </w:tc>
      </w:tr>
      <w:tr>
        <w:tc>
          <w:tcPr>
            <w:tcW w:type="dxa" w:w="831"/>
            <w:vMerge/>
          </w:tcPr>
          <w:p/>
        </w:tc>
        <w:tc>
          <w:tcPr>
            <w:tcW w:type="dxa" w:w="1661"/>
          </w:tcPr>
          <w:p>
            <w:pPr>
              <w:pStyle w:val="null3"/>
            </w:pPr>
            <w:r>
              <w:rPr>
                <w:rFonts w:ascii="仿宋_GB2312" w:hAnsi="仿宋_GB2312" w:cs="仿宋_GB2312" w:eastAsia="仿宋_GB2312"/>
              </w:rPr>
              <w:t>安全保障措施</w:t>
            </w:r>
          </w:p>
        </w:tc>
        <w:tc>
          <w:tcPr>
            <w:tcW w:type="dxa" w:w="2492"/>
          </w:tcPr>
          <w:p>
            <w:pPr>
              <w:pStyle w:val="null3"/>
            </w:pPr>
            <w:r>
              <w:rPr>
                <w:rFonts w:ascii="仿宋_GB2312" w:hAnsi="仿宋_GB2312" w:cs="仿宋_GB2312" w:eastAsia="仿宋_GB2312"/>
              </w:rPr>
              <w:t>评审内容： 包含：①在作业过程中人员安全保障措施；②作业环境安全防范；③药剂使用安全保障。 评审标准： 按照供应商编制内容依据评审标准每项得3分；每有一项内容出现一处存在缺陷的扣0.5分，未提供得0分。(缺陷是指：①编制内容与项目不吻合、层次未细化；②阐述未从实际出发，不切合项目背景及需求；③存在抄袭或套用其他地区或项目内容；④前后逻辑错误、存在歧义；⑤无具体详细的阐述、实施性不强；⑥科学原理或常识错误等。)</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12、安全保障措施.docx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投标人具有近三年（2023年1月至今）的类似业绩（合同扫描件并加盖投标人公章，以合同签订时间为准）每个计2分，最多得6分；未提供不得分。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13、业绩.docx</w:t>
            </w:r>
          </w:p>
        </w:tc>
      </w:tr>
      <w:tr>
        <w:tc>
          <w:tcPr>
            <w:tcW w:type="dxa" w:w="831"/>
            <w:vMerge/>
          </w:tcPr>
          <w:p/>
        </w:tc>
        <w:tc>
          <w:tcPr>
            <w:tcW w:type="dxa" w:w="1661"/>
          </w:tcPr>
          <w:p>
            <w:pPr>
              <w:pStyle w:val="null3"/>
            </w:pPr>
            <w:r>
              <w:rPr>
                <w:rFonts w:ascii="仿宋_GB2312" w:hAnsi="仿宋_GB2312" w:cs="仿宋_GB2312" w:eastAsia="仿宋_GB2312"/>
              </w:rPr>
              <w:t>其他人员配备情况</w:t>
            </w:r>
          </w:p>
        </w:tc>
        <w:tc>
          <w:tcPr>
            <w:tcW w:type="dxa" w:w="2492"/>
          </w:tcPr>
          <w:p>
            <w:pPr>
              <w:pStyle w:val="null3"/>
            </w:pPr>
            <w:r>
              <w:rPr>
                <w:rFonts w:ascii="仿宋_GB2312" w:hAnsi="仿宋_GB2312" w:cs="仿宋_GB2312" w:eastAsia="仿宋_GB2312"/>
              </w:rPr>
              <w:t>项目组人员中每具有一个农业方面专业技术人员得1分，本项最高得6分。提供人员专业技术能力证明材料，未提供不得分。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14、其他人员配备情况.docx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评审内容： 供应商针对本项目制定的总体方案，包含①服务中严格按照国家及行业标准进行服务；②配合采购人进行汇报、验收、必要的外勤配合等工作；③及时响应本服务中采购人所需的远程指导及协助需求等施。 评审标准： 每一条评审内容不存在缺陷得3分；每有一条评审内容出现一处缺陷扣0.5分，扣完为止；未提供得0分。(缺陷是指：①编制内容与项目不吻合、层次未细化；②阐述未从实际出发，不切合项目背景及需求；③存在抄袭或套用其他地区或项目内容；④前后逻辑错误、存在歧义；⑤无具体详细的阐述、实施性不强；⑥科学原理或常识错误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15、服务承诺.docx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满足招标文件要求且最后投标单价最低的投标人的价格为基准价得30分，其他各投标人的最后报价得分按下列公式计算： 投标报价得分=（投标基准价/投标单价）×30%×100。 备注：当评标委员会认为某个投标人的报价明显低于其他通过符合性审查投标人的报价，有可能影响服务质量和不能诚信履约的，应要求该投标人在评标现场合理的时间内提供书面说明，必要时提交相关证明材料；投标人不能证明其报价合理的，评标委员会将其作为无效投标处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1、分项报价表.docx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1、分项报价表.docx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详见附件：2、陕西省政府采购供应商拒绝政府采购领域商业贿赂承诺书.docx</w:t>
      </w:r>
    </w:p>
    <w:p>
      <w:pPr>
        <w:pStyle w:val="null3"/>
        <w:ind w:firstLine="960"/>
      </w:pPr>
      <w:r>
        <w:rPr>
          <w:rFonts w:ascii="仿宋_GB2312" w:hAnsi="仿宋_GB2312" w:cs="仿宋_GB2312" w:eastAsia="仿宋_GB2312"/>
        </w:rPr>
        <w:t>详见附件：3、基本资格要求.docx</w:t>
      </w:r>
    </w:p>
    <w:p>
      <w:pPr>
        <w:pStyle w:val="null3"/>
        <w:ind w:firstLine="960"/>
      </w:pPr>
      <w:r>
        <w:rPr>
          <w:rFonts w:ascii="仿宋_GB2312" w:hAnsi="仿宋_GB2312" w:cs="仿宋_GB2312" w:eastAsia="仿宋_GB2312"/>
        </w:rPr>
        <w:t>详见附件：4、特殊资格要求.docx</w:t>
      </w:r>
    </w:p>
    <w:p>
      <w:pPr>
        <w:pStyle w:val="null3"/>
        <w:ind w:firstLine="960"/>
      </w:pPr>
      <w:r>
        <w:rPr>
          <w:rFonts w:ascii="仿宋_GB2312" w:hAnsi="仿宋_GB2312" w:cs="仿宋_GB2312" w:eastAsia="仿宋_GB2312"/>
        </w:rPr>
        <w:t>详见附件：5、技术指标偏离表.docx</w:t>
      </w:r>
    </w:p>
    <w:p>
      <w:pPr>
        <w:pStyle w:val="null3"/>
        <w:ind w:firstLine="960"/>
      </w:pPr>
      <w:r>
        <w:rPr>
          <w:rFonts w:ascii="仿宋_GB2312" w:hAnsi="仿宋_GB2312" w:cs="仿宋_GB2312" w:eastAsia="仿宋_GB2312"/>
        </w:rPr>
        <w:t>详见附件：6、商务响应表.docx</w:t>
      </w:r>
    </w:p>
    <w:p>
      <w:pPr>
        <w:pStyle w:val="null3"/>
        <w:ind w:firstLine="960"/>
      </w:pPr>
      <w:r>
        <w:rPr>
          <w:rFonts w:ascii="仿宋_GB2312" w:hAnsi="仿宋_GB2312" w:cs="仿宋_GB2312" w:eastAsia="仿宋_GB2312"/>
        </w:rPr>
        <w:t>详见附件：7、总体方案.docx</w:t>
      </w:r>
    </w:p>
    <w:p>
      <w:pPr>
        <w:pStyle w:val="null3"/>
        <w:ind w:firstLine="960"/>
      </w:pPr>
      <w:r>
        <w:rPr>
          <w:rFonts w:ascii="仿宋_GB2312" w:hAnsi="仿宋_GB2312" w:cs="仿宋_GB2312" w:eastAsia="仿宋_GB2312"/>
        </w:rPr>
        <w:t>详见附件：8、作业方法.docx</w:t>
      </w:r>
    </w:p>
    <w:p>
      <w:pPr>
        <w:pStyle w:val="null3"/>
        <w:ind w:firstLine="960"/>
      </w:pPr>
      <w:r>
        <w:rPr>
          <w:rFonts w:ascii="仿宋_GB2312" w:hAnsi="仿宋_GB2312" w:cs="仿宋_GB2312" w:eastAsia="仿宋_GB2312"/>
        </w:rPr>
        <w:t>详见附件：9、实施方案.docx</w:t>
      </w:r>
    </w:p>
    <w:p>
      <w:pPr>
        <w:pStyle w:val="null3"/>
        <w:ind w:firstLine="960"/>
      </w:pPr>
      <w:r>
        <w:rPr>
          <w:rFonts w:ascii="仿宋_GB2312" w:hAnsi="仿宋_GB2312" w:cs="仿宋_GB2312" w:eastAsia="仿宋_GB2312"/>
        </w:rPr>
        <w:t>详见附件：10、质量保证措施.docx</w:t>
      </w:r>
    </w:p>
    <w:p>
      <w:pPr>
        <w:pStyle w:val="null3"/>
        <w:ind w:firstLine="960"/>
      </w:pPr>
      <w:r>
        <w:rPr>
          <w:rFonts w:ascii="仿宋_GB2312" w:hAnsi="仿宋_GB2312" w:cs="仿宋_GB2312" w:eastAsia="仿宋_GB2312"/>
        </w:rPr>
        <w:t>详见附件：11、应急处理措施.docx</w:t>
      </w:r>
    </w:p>
    <w:p>
      <w:pPr>
        <w:pStyle w:val="null3"/>
        <w:ind w:firstLine="960"/>
      </w:pPr>
      <w:r>
        <w:rPr>
          <w:rFonts w:ascii="仿宋_GB2312" w:hAnsi="仿宋_GB2312" w:cs="仿宋_GB2312" w:eastAsia="仿宋_GB2312"/>
        </w:rPr>
        <w:t>详见附件：12、安全保障措施.docx</w:t>
      </w:r>
    </w:p>
    <w:p>
      <w:pPr>
        <w:pStyle w:val="null3"/>
        <w:ind w:firstLine="960"/>
      </w:pPr>
      <w:r>
        <w:rPr>
          <w:rFonts w:ascii="仿宋_GB2312" w:hAnsi="仿宋_GB2312" w:cs="仿宋_GB2312" w:eastAsia="仿宋_GB2312"/>
        </w:rPr>
        <w:t>详见附件：13、业绩.docx</w:t>
      </w:r>
    </w:p>
    <w:p>
      <w:pPr>
        <w:pStyle w:val="null3"/>
        <w:ind w:firstLine="960"/>
      </w:pPr>
      <w:r>
        <w:rPr>
          <w:rFonts w:ascii="仿宋_GB2312" w:hAnsi="仿宋_GB2312" w:cs="仿宋_GB2312" w:eastAsia="仿宋_GB2312"/>
        </w:rPr>
        <w:t>详见附件：14、其他人员配备情况.docx</w:t>
      </w:r>
    </w:p>
    <w:p>
      <w:pPr>
        <w:pStyle w:val="null3"/>
        <w:ind w:firstLine="960"/>
      </w:pPr>
      <w:r>
        <w:rPr>
          <w:rFonts w:ascii="仿宋_GB2312" w:hAnsi="仿宋_GB2312" w:cs="仿宋_GB2312" w:eastAsia="仿宋_GB2312"/>
        </w:rPr>
        <w:t>详见附件：15、服务承诺.docx</w:t>
      </w:r>
    </w:p>
    <w:p>
      <w:pPr>
        <w:pStyle w:val="null3"/>
        <w:ind w:firstLine="960"/>
      </w:pPr>
      <w:r>
        <w:rPr>
          <w:rFonts w:ascii="仿宋_GB2312" w:hAnsi="仿宋_GB2312" w:cs="仿宋_GB2312" w:eastAsia="仿宋_GB2312"/>
        </w:rPr>
        <w:t>详见附件：1、分项报价表.docx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详见附件：合同条款（参考格式）.docx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