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9ABB7A">
      <w:pPr>
        <w:pStyle w:val="2"/>
        <w:numPr>
          <w:ilvl w:val="0"/>
          <w:numId w:val="1"/>
        </w:numPr>
        <w:spacing w:before="300" w:after="300" w:line="480" w:lineRule="auto"/>
        <w:rPr>
          <w:rFonts w:hint="eastAsia" w:ascii="宋体" w:hAnsi="宋体" w:cs="宋体"/>
          <w:sz w:val="32"/>
          <w:szCs w:val="32"/>
          <w:highlight w:val="none"/>
        </w:rPr>
      </w:pPr>
      <w:r>
        <w:rPr>
          <w:rFonts w:hint="eastAsia" w:ascii="宋体" w:hAnsi="宋体" w:cs="宋体"/>
          <w:sz w:val="32"/>
          <w:szCs w:val="32"/>
          <w:highlight w:val="none"/>
          <w:lang w:val="en-US" w:eastAsia="zh-CN"/>
        </w:rPr>
        <w:t xml:space="preserve"> </w:t>
      </w:r>
      <w:bookmarkStart w:id="0" w:name="_Toc23008"/>
      <w:r>
        <w:rPr>
          <w:rFonts w:hint="eastAsia" w:ascii="宋体" w:hAnsi="宋体" w:cs="宋体"/>
          <w:sz w:val="32"/>
          <w:szCs w:val="32"/>
          <w:highlight w:val="none"/>
        </w:rPr>
        <w:t>合同条款（参考格式）</w:t>
      </w:r>
      <w:bookmarkEnd w:id="0"/>
    </w:p>
    <w:p w14:paraId="18A1FE31">
      <w:pPr>
        <w:pStyle w:val="4"/>
        <w:snapToGrid w:val="0"/>
        <w:spacing w:line="440" w:lineRule="exact"/>
        <w:rPr>
          <w:rFonts w:hint="eastAsia" w:hAnsi="宋体" w:cs="宋体"/>
          <w:sz w:val="24"/>
          <w:szCs w:val="24"/>
          <w:highlight w:val="none"/>
        </w:rPr>
      </w:pPr>
      <w:r>
        <w:rPr>
          <w:rFonts w:hint="eastAsia" w:hAnsi="宋体" w:cs="宋体"/>
          <w:sz w:val="24"/>
          <w:szCs w:val="24"/>
          <w:highlight w:val="none"/>
        </w:rPr>
        <w:t>甲方(实施单位)：</w:t>
      </w:r>
      <w:r>
        <w:rPr>
          <w:rFonts w:hint="eastAsia" w:hAnsi="宋体" w:cs="宋体"/>
          <w:sz w:val="24"/>
          <w:szCs w:val="24"/>
          <w:highlight w:val="none"/>
          <w:u w:val="single"/>
        </w:rPr>
        <w:t xml:space="preserve">                                        </w:t>
      </w:r>
    </w:p>
    <w:p w14:paraId="2786B72B">
      <w:pPr>
        <w:pStyle w:val="4"/>
        <w:snapToGrid w:val="0"/>
        <w:spacing w:line="440" w:lineRule="exact"/>
        <w:rPr>
          <w:rFonts w:hint="eastAsia" w:hAnsi="宋体" w:cs="宋体"/>
          <w:sz w:val="24"/>
          <w:szCs w:val="24"/>
          <w:highlight w:val="none"/>
          <w:u w:val="single"/>
        </w:rPr>
      </w:pPr>
      <w:r>
        <w:rPr>
          <w:rFonts w:hint="eastAsia" w:hAnsi="宋体" w:cs="宋体"/>
          <w:sz w:val="24"/>
          <w:szCs w:val="24"/>
          <w:highlight w:val="none"/>
        </w:rPr>
        <w:t>乙方(中标人)：</w:t>
      </w:r>
      <w:r>
        <w:rPr>
          <w:rFonts w:hint="eastAsia" w:hAnsi="宋体" w:cs="宋体"/>
          <w:sz w:val="24"/>
          <w:szCs w:val="24"/>
          <w:highlight w:val="none"/>
          <w:u w:val="single"/>
        </w:rPr>
        <w:t xml:space="preserve">                                        </w:t>
      </w:r>
    </w:p>
    <w:p w14:paraId="5B5A00FA">
      <w:pPr>
        <w:spacing w:line="360" w:lineRule="auto"/>
        <w:ind w:firstLine="480" w:firstLineChars="200"/>
        <w:rPr>
          <w:rFonts w:hint="eastAsia" w:hAnsi="宋体"/>
          <w:sz w:val="24"/>
          <w:highlight w:val="none"/>
        </w:rPr>
      </w:pPr>
      <w:r>
        <w:rPr>
          <w:rFonts w:hint="eastAsia" w:hAnsi="宋体"/>
          <w:sz w:val="24"/>
          <w:highlight w:val="none"/>
        </w:rPr>
        <w:t>甲乙双方根据</w:t>
      </w:r>
      <w:r>
        <w:rPr>
          <w:rFonts w:hint="eastAsia" w:hAnsi="宋体"/>
          <w:sz w:val="24"/>
          <w:highlight w:val="none"/>
          <w:u w:val="single"/>
        </w:rPr>
        <w:t xml:space="preserve">   </w:t>
      </w:r>
      <w:r>
        <w:rPr>
          <w:rFonts w:hint="eastAsia" w:hAnsi="宋体"/>
          <w:sz w:val="24"/>
          <w:highlight w:val="none"/>
        </w:rPr>
        <w:t>年</w:t>
      </w:r>
      <w:r>
        <w:rPr>
          <w:rFonts w:hint="eastAsia" w:hAnsi="宋体"/>
          <w:sz w:val="24"/>
          <w:highlight w:val="none"/>
          <w:u w:val="single"/>
        </w:rPr>
        <w:t xml:space="preserve">   </w:t>
      </w:r>
      <w:r>
        <w:rPr>
          <w:rFonts w:hint="eastAsia" w:hAnsi="宋体"/>
          <w:sz w:val="24"/>
          <w:highlight w:val="none"/>
        </w:rPr>
        <w:t>月</w:t>
      </w:r>
      <w:r>
        <w:rPr>
          <w:rFonts w:hint="eastAsia" w:hAnsi="宋体"/>
          <w:sz w:val="24"/>
          <w:highlight w:val="none"/>
          <w:u w:val="single"/>
        </w:rPr>
        <w:t xml:space="preserve">    </w:t>
      </w:r>
      <w:r>
        <w:rPr>
          <w:rFonts w:hint="eastAsia" w:hAnsi="宋体"/>
          <w:sz w:val="24"/>
          <w:highlight w:val="none"/>
        </w:rPr>
        <w:t>日</w:t>
      </w:r>
      <w:r>
        <w:rPr>
          <w:rFonts w:hint="eastAsia" w:hAnsi="宋体"/>
          <w:sz w:val="24"/>
          <w:highlight w:val="none"/>
          <w:u w:val="single"/>
        </w:rPr>
        <w:t xml:space="preserve">       </w:t>
      </w:r>
      <w:r>
        <w:rPr>
          <w:rFonts w:hint="eastAsia" w:hAnsi="宋体"/>
          <w:sz w:val="24"/>
          <w:highlight w:val="none"/>
        </w:rPr>
        <w:t>政府采购招标项目采购结果及相关招标文件及投标文件，本合同经双方友好协商平等、诚信、协作的原则，按照《中华人民共和国政府采购法》和《中华人民共和国民法典》经协商一致，订立本合同，供双方共同遵守：</w:t>
      </w:r>
    </w:p>
    <w:p w14:paraId="28174461">
      <w:pPr>
        <w:pStyle w:val="4"/>
        <w:spacing w:before="156" w:beforeLines="50" w:after="156" w:afterLines="50" w:line="360" w:lineRule="auto"/>
        <w:rPr>
          <w:rFonts w:hint="eastAsia" w:hAnsi="宋体"/>
          <w:b/>
          <w:bCs/>
          <w:sz w:val="24"/>
          <w:szCs w:val="24"/>
          <w:highlight w:val="none"/>
        </w:rPr>
      </w:pPr>
      <w:r>
        <w:rPr>
          <w:rFonts w:hint="eastAsia" w:hAnsi="宋体"/>
          <w:b/>
          <w:bCs/>
          <w:sz w:val="24"/>
          <w:szCs w:val="24"/>
          <w:highlight w:val="none"/>
        </w:rPr>
        <w:t>第一条  甲方采购的货物内容和含税价格：</w:t>
      </w:r>
    </w:p>
    <w:p w14:paraId="64AFF7D6">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采购内容：</w:t>
      </w:r>
      <w:r>
        <w:rPr>
          <w:rFonts w:hint="eastAsia" w:hAnsi="宋体"/>
          <w:sz w:val="24"/>
          <w:szCs w:val="24"/>
          <w:highlight w:val="none"/>
          <w:u w:val="single"/>
        </w:rPr>
        <w:t xml:space="preserve">                                                               </w:t>
      </w:r>
      <w:r>
        <w:rPr>
          <w:rFonts w:hint="eastAsia" w:hAnsi="宋体"/>
          <w:sz w:val="24"/>
          <w:szCs w:val="24"/>
          <w:highlight w:val="none"/>
        </w:rPr>
        <w:t xml:space="preserve">                      </w:t>
      </w:r>
    </w:p>
    <w:p w14:paraId="0136C7B1">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后附采购清单及货物参数。</w:t>
      </w:r>
    </w:p>
    <w:p w14:paraId="437E6C6E">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采购货物由乙方免费配送，甲方不再另付任何费用。</w:t>
      </w:r>
    </w:p>
    <w:p w14:paraId="4220D613">
      <w:pPr>
        <w:pStyle w:val="4"/>
        <w:spacing w:before="156" w:beforeLines="50" w:after="156" w:afterLines="50" w:line="360" w:lineRule="auto"/>
        <w:rPr>
          <w:rFonts w:hint="eastAsia" w:hAnsi="宋体"/>
          <w:b/>
          <w:bCs/>
          <w:sz w:val="24"/>
          <w:szCs w:val="24"/>
          <w:highlight w:val="none"/>
        </w:rPr>
      </w:pPr>
      <w:r>
        <w:rPr>
          <w:rFonts w:hint="eastAsia" w:hAnsi="宋体"/>
          <w:b/>
          <w:bCs/>
          <w:sz w:val="24"/>
          <w:szCs w:val="24"/>
          <w:highlight w:val="none"/>
        </w:rPr>
        <w:t>第二条  货物的质量技术标准、乙方售后服务及损害赔偿</w:t>
      </w:r>
    </w:p>
    <w:p w14:paraId="5B463006">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1、货物的质量技术标准按国家法律法规规定的现行标准、招标文件、投标文件所要求的技术标准执行。</w:t>
      </w:r>
    </w:p>
    <w:p w14:paraId="0BA389E9">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lang w:val="en-US" w:eastAsia="zh-CN"/>
        </w:rPr>
        <w:t>2</w:t>
      </w:r>
      <w:r>
        <w:rPr>
          <w:rFonts w:hint="eastAsia" w:hAnsi="宋体"/>
          <w:sz w:val="24"/>
          <w:szCs w:val="24"/>
          <w:highlight w:val="none"/>
        </w:rPr>
        <w:t>、乙方应按生产厂家的保修规定和投标文件说明的服务承诺做好保修服务。</w:t>
      </w:r>
    </w:p>
    <w:p w14:paraId="1BEE6545">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lang w:val="en-US" w:eastAsia="zh-CN"/>
        </w:rPr>
        <w:t>3</w:t>
      </w:r>
      <w:r>
        <w:rPr>
          <w:rFonts w:hint="eastAsia" w:hAnsi="宋体"/>
          <w:sz w:val="24"/>
          <w:szCs w:val="24"/>
          <w:highlight w:val="none"/>
        </w:rPr>
        <w:t>、乙方售后服务响应时间：乙方必须按照招标文件及投标文件的服务标准执行，保证7×24小时电话应急响应，保证3小时内到现场处理相关问题，费用由乙方负责。如乙方在接到通知工作日的6小时内没有答复和处理问题，则视为乙方承认质量问题并承担由此而发生的一切费用。使用期间因产品的任何质量问题原因造成的直接经济损失应全部由乙方自行负责。提供每年至少1次的免费货物巡回检修服务。</w:t>
      </w:r>
    </w:p>
    <w:p w14:paraId="564A721A">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lang w:val="en-US" w:eastAsia="zh-CN"/>
        </w:rPr>
        <w:t>4</w:t>
      </w:r>
      <w:r>
        <w:rPr>
          <w:rFonts w:hint="eastAsia" w:hAnsi="宋体"/>
          <w:sz w:val="24"/>
          <w:szCs w:val="24"/>
          <w:highlight w:val="none"/>
        </w:rPr>
        <w:t>、</w:t>
      </w:r>
      <w:r>
        <w:rPr>
          <w:rFonts w:hint="eastAsia" w:ascii="宋体" w:hAnsi="宋体" w:eastAsia="宋体" w:cs="宋体"/>
          <w:color w:val="auto"/>
          <w:kern w:val="0"/>
          <w:sz w:val="24"/>
          <w:szCs w:val="20"/>
          <w:highlight w:val="none"/>
          <w:lang w:val="en-US" w:eastAsia="zh-CN" w:bidi="ar-SA"/>
        </w:rPr>
        <w:t>乙方未经甲方及有关部门同意，不得擅自变更本项目招标活动中响应的项目范围、实施方案和项目负责人</w:t>
      </w:r>
      <w:r>
        <w:rPr>
          <w:rFonts w:hint="eastAsia" w:hAnsi="宋体"/>
          <w:sz w:val="24"/>
          <w:szCs w:val="24"/>
          <w:highlight w:val="none"/>
        </w:rPr>
        <w:t>。</w:t>
      </w:r>
    </w:p>
    <w:p w14:paraId="2D5BE6BD">
      <w:pPr>
        <w:pStyle w:val="4"/>
        <w:spacing w:before="156" w:beforeLines="50" w:after="156" w:afterLines="50" w:line="360" w:lineRule="auto"/>
        <w:ind w:firstLine="360" w:firstLineChars="150"/>
        <w:rPr>
          <w:rFonts w:hAnsi="宋体"/>
          <w:sz w:val="24"/>
          <w:szCs w:val="24"/>
          <w:highlight w:val="none"/>
          <w:u w:val="single"/>
        </w:rPr>
      </w:pPr>
      <w:r>
        <w:rPr>
          <w:rFonts w:hint="eastAsia" w:hAnsi="宋体"/>
          <w:sz w:val="24"/>
          <w:szCs w:val="24"/>
          <w:highlight w:val="none"/>
        </w:rPr>
        <w:t>乙方项目负责人：</w:t>
      </w:r>
      <w:r>
        <w:rPr>
          <w:rFonts w:hint="eastAsia" w:hAnsi="宋体"/>
          <w:sz w:val="24"/>
          <w:szCs w:val="24"/>
          <w:highlight w:val="none"/>
          <w:u w:val="single"/>
        </w:rPr>
        <w:t xml:space="preserve">             </w:t>
      </w:r>
      <w:r>
        <w:rPr>
          <w:rFonts w:hint="eastAsia" w:hAnsi="宋体"/>
          <w:sz w:val="24"/>
          <w:szCs w:val="24"/>
          <w:highlight w:val="none"/>
        </w:rPr>
        <w:t>联系电话：</w:t>
      </w:r>
      <w:r>
        <w:rPr>
          <w:rFonts w:hint="eastAsia" w:hAnsi="宋体"/>
          <w:sz w:val="24"/>
          <w:szCs w:val="24"/>
          <w:highlight w:val="none"/>
          <w:u w:val="single"/>
        </w:rPr>
        <w:t xml:space="preserve">                    </w:t>
      </w:r>
    </w:p>
    <w:p w14:paraId="1CD72D01">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lang w:val="en-US" w:eastAsia="zh-CN"/>
        </w:rPr>
        <w:t>5</w:t>
      </w:r>
      <w:r>
        <w:rPr>
          <w:rFonts w:hint="eastAsia" w:hAnsi="宋体"/>
          <w:sz w:val="24"/>
          <w:szCs w:val="24"/>
          <w:highlight w:val="none"/>
        </w:rPr>
        <w:t>、如因乙方货物质量原因，导致甲方损失，乙方应予以赔偿。</w:t>
      </w:r>
    </w:p>
    <w:p w14:paraId="7D3E9692">
      <w:pPr>
        <w:pStyle w:val="4"/>
        <w:spacing w:before="156" w:beforeLines="50" w:after="156" w:afterLines="50" w:line="360" w:lineRule="auto"/>
        <w:rPr>
          <w:rFonts w:hint="eastAsia" w:hAnsi="宋体"/>
          <w:b/>
          <w:bCs/>
          <w:sz w:val="24"/>
          <w:szCs w:val="24"/>
          <w:highlight w:val="none"/>
        </w:rPr>
      </w:pPr>
      <w:r>
        <w:rPr>
          <w:rFonts w:hint="eastAsia" w:hAnsi="宋体"/>
          <w:b/>
          <w:bCs/>
          <w:sz w:val="24"/>
          <w:szCs w:val="24"/>
          <w:highlight w:val="none"/>
        </w:rPr>
        <w:t>第三条  交付和验收</w:t>
      </w:r>
    </w:p>
    <w:p w14:paraId="51A59CFD">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1、</w:t>
      </w:r>
      <w:r>
        <w:rPr>
          <w:rFonts w:hint="eastAsia" w:hAnsi="宋体" w:cs="宋体"/>
          <w:sz w:val="24"/>
          <w:szCs w:val="24"/>
          <w:highlight w:val="none"/>
        </w:rPr>
        <w:t>交付期：</w:t>
      </w:r>
      <w:r>
        <w:rPr>
          <w:rFonts w:hint="eastAsia" w:hAnsi="宋体" w:cs="宋体"/>
          <w:sz w:val="24"/>
          <w:szCs w:val="24"/>
          <w:highlight w:val="none"/>
          <w:u w:val="single"/>
          <w:lang w:val="en-US" w:eastAsia="zh-CN"/>
        </w:rPr>
        <w:t xml:space="preserve">                         </w:t>
      </w:r>
      <w:r>
        <w:rPr>
          <w:rFonts w:hint="eastAsia" w:hAnsi="宋体" w:cs="宋体"/>
          <w:sz w:val="24"/>
          <w:szCs w:val="24"/>
          <w:highlight w:val="none"/>
        </w:rPr>
        <w:t>。</w:t>
      </w:r>
    </w:p>
    <w:p w14:paraId="6ECEF439">
      <w:pPr>
        <w:pStyle w:val="4"/>
        <w:spacing w:before="156" w:beforeLines="50" w:after="156" w:afterLines="50" w:line="360" w:lineRule="auto"/>
        <w:ind w:firstLine="480" w:firstLineChars="200"/>
        <w:rPr>
          <w:rFonts w:hint="eastAsia" w:hAnsi="宋体"/>
          <w:sz w:val="24"/>
          <w:szCs w:val="24"/>
          <w:highlight w:val="none"/>
        </w:rPr>
      </w:pPr>
      <w:r>
        <w:rPr>
          <w:rFonts w:hint="eastAsia" w:hAnsi="宋体"/>
          <w:sz w:val="24"/>
          <w:szCs w:val="24"/>
          <w:highlight w:val="none"/>
        </w:rPr>
        <w:t>交付地点：渭南市蒲城县。</w:t>
      </w:r>
    </w:p>
    <w:p w14:paraId="7836E436">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2</w:t>
      </w:r>
      <w:r>
        <w:rPr>
          <w:rFonts w:hint="eastAsia" w:hAnsi="宋体"/>
          <w:sz w:val="24"/>
          <w:szCs w:val="24"/>
          <w:highlight w:val="none"/>
          <w:lang w:val="en-US" w:eastAsia="zh-CN"/>
        </w:rPr>
        <w:t>报价包括但不限于药剂采购费、运输配送费、飞防服务费、技术培训费、第三方检测费、管理费、税金、利润，以及招标文件明示或暗示的所有风险费用。服务期内采购人不再追加任何费用。</w:t>
      </w:r>
      <w:r>
        <w:rPr>
          <w:rFonts w:hint="eastAsia" w:hAnsi="宋体"/>
          <w:sz w:val="24"/>
          <w:szCs w:val="24"/>
          <w:highlight w:val="none"/>
        </w:rPr>
        <w:t>。</w:t>
      </w:r>
    </w:p>
    <w:p w14:paraId="4F4E7A2B">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3、验收时间：乙方提出验收申请后，甲方应及时组织验收，甲方验收合格后应当出具验收报告。</w:t>
      </w:r>
    </w:p>
    <w:p w14:paraId="0E6637DC">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4、验收标准：</w:t>
      </w:r>
    </w:p>
    <w:p w14:paraId="487F8DEB">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（1）综合防治效果不低于85%，防治作业结束，防治区域镇村出具作业面积认定凭证并经农业技术人员验收。</w:t>
      </w:r>
    </w:p>
    <w:p w14:paraId="19D542D5">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（2）质量符合国家法律法规规定的合格标准、招标文件、投标文件的要求。</w:t>
      </w:r>
    </w:p>
    <w:p w14:paraId="630C9A86">
      <w:pPr>
        <w:pStyle w:val="4"/>
        <w:spacing w:before="156" w:beforeLines="50" w:after="156" w:afterLines="50" w:line="360" w:lineRule="auto"/>
        <w:rPr>
          <w:rFonts w:hint="eastAsia" w:hAnsi="宋体"/>
          <w:b/>
          <w:bCs/>
          <w:sz w:val="24"/>
          <w:szCs w:val="24"/>
          <w:highlight w:val="none"/>
        </w:rPr>
      </w:pPr>
      <w:r>
        <w:rPr>
          <w:rFonts w:hint="eastAsia" w:hAnsi="宋体"/>
          <w:b/>
          <w:bCs/>
          <w:sz w:val="24"/>
          <w:szCs w:val="24"/>
          <w:highlight w:val="none"/>
        </w:rPr>
        <w:t>第四条  货款的结算</w:t>
      </w:r>
    </w:p>
    <w:p w14:paraId="75ECEEC8">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1、付款方式：</w:t>
      </w:r>
    </w:p>
    <w:p w14:paraId="5A1F57DB">
      <w:pPr>
        <w:spacing w:line="360" w:lineRule="auto"/>
        <w:ind w:firstLine="600" w:firstLineChars="250"/>
        <w:rPr>
          <w:rFonts w:ascii="宋体" w:hAnsi="宋体"/>
          <w:kern w:val="0"/>
          <w:sz w:val="24"/>
          <w:highlight w:val="none"/>
        </w:rPr>
      </w:pPr>
      <w:r>
        <w:rPr>
          <w:rFonts w:hint="eastAsia" w:ascii="宋体" w:hAnsi="宋体"/>
          <w:kern w:val="0"/>
          <w:sz w:val="24"/>
          <w:highlight w:val="none"/>
        </w:rPr>
        <w:t>完成终验后，</w:t>
      </w:r>
      <w:bookmarkStart w:id="1" w:name="_GoBack"/>
      <w:bookmarkEnd w:id="1"/>
      <w:r>
        <w:rPr>
          <w:rFonts w:hint="eastAsia" w:ascii="宋体" w:hAnsi="宋体"/>
          <w:kern w:val="0"/>
          <w:sz w:val="24"/>
          <w:highlight w:val="none"/>
        </w:rPr>
        <w:t>一次性支付。</w:t>
      </w:r>
    </w:p>
    <w:p w14:paraId="075E889F">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2、结算依据：招标文件、投标文件、采购合同、乙方提供的销售发票、甲方出具的验收报告。</w:t>
      </w:r>
    </w:p>
    <w:p w14:paraId="6B9E7A1F">
      <w:pPr>
        <w:pStyle w:val="4"/>
        <w:spacing w:before="156" w:beforeLines="50" w:after="156" w:afterLines="50" w:line="360" w:lineRule="auto"/>
        <w:rPr>
          <w:rFonts w:hint="eastAsia" w:hAnsi="宋体"/>
          <w:b/>
          <w:bCs/>
          <w:sz w:val="24"/>
          <w:szCs w:val="24"/>
          <w:highlight w:val="none"/>
        </w:rPr>
      </w:pPr>
      <w:r>
        <w:rPr>
          <w:rFonts w:hint="eastAsia" w:hAnsi="宋体"/>
          <w:b/>
          <w:bCs/>
          <w:sz w:val="24"/>
          <w:szCs w:val="24"/>
          <w:highlight w:val="none"/>
        </w:rPr>
        <w:t>第五条  甲乙双方的权力和义务</w:t>
      </w:r>
    </w:p>
    <w:p w14:paraId="7F9B3BDB">
      <w:pPr>
        <w:pStyle w:val="4"/>
        <w:spacing w:before="156" w:beforeLines="50" w:after="156" w:afterLines="50" w:line="360" w:lineRule="auto"/>
        <w:ind w:firstLine="361" w:firstLineChars="150"/>
        <w:rPr>
          <w:rFonts w:hint="eastAsia" w:hAnsi="宋体"/>
          <w:b/>
          <w:bCs/>
          <w:sz w:val="24"/>
          <w:szCs w:val="24"/>
          <w:highlight w:val="none"/>
        </w:rPr>
      </w:pPr>
      <w:r>
        <w:rPr>
          <w:rFonts w:hint="eastAsia" w:hAnsi="宋体"/>
          <w:b/>
          <w:bCs/>
          <w:sz w:val="24"/>
          <w:szCs w:val="24"/>
          <w:highlight w:val="none"/>
        </w:rPr>
        <w:t>一、甲方的权力和义务</w:t>
      </w:r>
    </w:p>
    <w:p w14:paraId="3E4642C7">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1、甲方有权监督乙方工作执行情况。</w:t>
      </w:r>
    </w:p>
    <w:p w14:paraId="6635FE24">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2、甲方有权向乙方提出合理化建议，乙方应予以采纳；</w:t>
      </w:r>
    </w:p>
    <w:p w14:paraId="42D4F473">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3、甲方有权对乙方的质量、进度、货物、器具安全等情况进行安全监督检查，如乙方未达到标准或出现不合格情况，甲方有权要求乙方进行整改和完善。逾期未整改的，甲方有权按照甲方相关规定对乙方进行经济处罚。</w:t>
      </w:r>
    </w:p>
    <w:p w14:paraId="789855BE">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4、甲方有权要求乙方人员遵守甲方的规章制度，并对甲方相关信息资料进行保密。</w:t>
      </w:r>
    </w:p>
    <w:p w14:paraId="0F659736">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5、甲方有权对乙方配备的人员进行审核，乙方如更换工作人员，应征得甲方同意后更换。</w:t>
      </w:r>
    </w:p>
    <w:p w14:paraId="316EF9E5">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6、甲方应按合同约定及时向乙方支付服务费用。</w:t>
      </w:r>
    </w:p>
    <w:p w14:paraId="6D89BAE0">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7、甲方违反合同规定拒绝接货的，应当承担由此对乙方造成的损失。</w:t>
      </w:r>
    </w:p>
    <w:p w14:paraId="62DAF7BF">
      <w:pPr>
        <w:pStyle w:val="4"/>
        <w:spacing w:before="156" w:beforeLines="50" w:after="156" w:afterLines="50" w:line="360" w:lineRule="auto"/>
        <w:ind w:firstLine="361" w:firstLineChars="150"/>
        <w:rPr>
          <w:rFonts w:hint="eastAsia" w:hAnsi="宋体"/>
          <w:b/>
          <w:bCs/>
          <w:sz w:val="24"/>
          <w:szCs w:val="24"/>
          <w:highlight w:val="none"/>
        </w:rPr>
      </w:pPr>
      <w:r>
        <w:rPr>
          <w:rFonts w:hint="eastAsia" w:hAnsi="宋体"/>
          <w:b/>
          <w:bCs/>
          <w:sz w:val="24"/>
          <w:szCs w:val="24"/>
          <w:highlight w:val="none"/>
        </w:rPr>
        <w:t>二、乙方的权力和义务</w:t>
      </w:r>
    </w:p>
    <w:p w14:paraId="6E09E9B1">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1、建立健全岗位责任制度和管理制度等服务管理制度体系,并加强对人员的管理。</w:t>
      </w:r>
    </w:p>
    <w:p w14:paraId="6782467F">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2、乙方应识别活动场所可能发生的环境因素和危险源，按甲方的要求实施管理、检查和控制。</w:t>
      </w:r>
    </w:p>
    <w:p w14:paraId="24E29845">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3、如因乙方原因，对甲方造成经济损失或不良社会影响，乙方负责消除不良影响并自行承担由此发生的费用，甲方有权视情况终止合同，乙方有义务承担赔偿责任。</w:t>
      </w:r>
    </w:p>
    <w:p w14:paraId="41A13F31">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4、接受甲方的管理、监督、检查，对甲方发出的整改通知，应及时按甲方的要求进行整改。乙方无正当理由拒绝整改时，甲方可以另行委托他人予以整改，所发生的费用由乙方承担。</w:t>
      </w:r>
    </w:p>
    <w:p w14:paraId="2DCADCC2">
      <w:pPr>
        <w:pStyle w:val="4"/>
        <w:spacing w:before="156" w:beforeLines="50" w:after="156" w:afterLines="50" w:line="360" w:lineRule="auto"/>
        <w:ind w:firstLine="360" w:firstLineChars="150"/>
        <w:rPr>
          <w:rFonts w:hint="eastAsia" w:hAnsi="宋体"/>
          <w:sz w:val="24"/>
          <w:szCs w:val="24"/>
          <w:highlight w:val="none"/>
        </w:rPr>
      </w:pPr>
      <w:r>
        <w:rPr>
          <w:rFonts w:hint="eastAsia" w:hAnsi="宋体"/>
          <w:sz w:val="24"/>
          <w:szCs w:val="24"/>
          <w:highlight w:val="none"/>
        </w:rPr>
        <w:t>5、乙方所交货物需符合国家法律法规和合同规定，如提供的货物不合格，甲方有权拒收，并由乙方承担一切费用。</w:t>
      </w:r>
    </w:p>
    <w:p w14:paraId="01CCFFD2">
      <w:pPr>
        <w:tabs>
          <w:tab w:val="left" w:pos="980"/>
        </w:tabs>
        <w:spacing w:line="360" w:lineRule="auto"/>
        <w:rPr>
          <w:rFonts w:hint="eastAsia" w:ascii="宋体" w:hAnsi="宋体" w:cs="宋体"/>
          <w:b/>
          <w:bCs/>
          <w:sz w:val="24"/>
          <w:highlight w:val="none"/>
        </w:rPr>
      </w:pPr>
      <w:r>
        <w:rPr>
          <w:rFonts w:hint="eastAsia" w:ascii="宋体" w:hAnsi="宋体" w:cs="宋体"/>
          <w:b/>
          <w:bCs/>
          <w:sz w:val="24"/>
          <w:highlight w:val="none"/>
        </w:rPr>
        <w:t>第六条  违约责任</w:t>
      </w:r>
    </w:p>
    <w:p w14:paraId="4649C8EB">
      <w:pPr>
        <w:tabs>
          <w:tab w:val="left" w:pos="98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1、甲方违反合同规定拒绝收货的，应当承担由此对乙方造成的损失。</w:t>
      </w:r>
    </w:p>
    <w:p w14:paraId="0F67008A">
      <w:pPr>
        <w:tabs>
          <w:tab w:val="left" w:pos="98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2、乙方不能按期交货的，每逾期1日，乙方应向甲方赔付合同总金额的1%作为违约金，乙方超过7日不能交货的，甲方有权从其他渠道获取，由此产生的费用由乙方承担。</w:t>
      </w:r>
    </w:p>
    <w:p w14:paraId="44234258">
      <w:pPr>
        <w:tabs>
          <w:tab w:val="left" w:pos="98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3、乙方所交货物超过3次不符合甲方验收要求或超过15日不能交货的，甲方有权解除采购合同，乙方需按合同总金额的30%向甲方支付违约金，并承担由此产生的费用和一切责任。</w:t>
      </w:r>
    </w:p>
    <w:p w14:paraId="364A0CC8">
      <w:pPr>
        <w:tabs>
          <w:tab w:val="left" w:pos="980"/>
        </w:tabs>
        <w:spacing w:line="360" w:lineRule="auto"/>
        <w:rPr>
          <w:rFonts w:hint="eastAsia" w:ascii="宋体" w:hAnsi="宋体" w:cs="宋体"/>
          <w:b/>
          <w:bCs/>
          <w:sz w:val="24"/>
          <w:highlight w:val="none"/>
        </w:rPr>
      </w:pPr>
      <w:r>
        <w:rPr>
          <w:rFonts w:hint="eastAsia" w:ascii="宋体" w:hAnsi="宋体" w:cs="宋体"/>
          <w:b/>
          <w:bCs/>
          <w:sz w:val="24"/>
          <w:highlight w:val="none"/>
        </w:rPr>
        <w:t>第七条  不可抗力</w:t>
      </w:r>
    </w:p>
    <w:p w14:paraId="3ED11C41">
      <w:pPr>
        <w:tabs>
          <w:tab w:val="left" w:pos="98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14:paraId="5E8D88D2">
      <w:pPr>
        <w:tabs>
          <w:tab w:val="left" w:pos="980"/>
        </w:tabs>
        <w:spacing w:line="360" w:lineRule="auto"/>
        <w:rPr>
          <w:rFonts w:hint="eastAsia" w:ascii="宋体" w:hAnsi="宋体" w:cs="宋体"/>
          <w:b/>
          <w:bCs/>
          <w:sz w:val="24"/>
          <w:highlight w:val="none"/>
        </w:rPr>
      </w:pPr>
      <w:r>
        <w:rPr>
          <w:rFonts w:hint="eastAsia" w:ascii="宋体" w:hAnsi="宋体" w:cs="宋体"/>
          <w:b/>
          <w:bCs/>
          <w:sz w:val="24"/>
          <w:highlight w:val="none"/>
        </w:rPr>
        <w:t>第八条  争议解决</w:t>
      </w:r>
    </w:p>
    <w:p w14:paraId="2D547A4E">
      <w:pPr>
        <w:tabs>
          <w:tab w:val="left" w:pos="98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双方本着友好合作的态度,对合同履行过程中发生的违约行为进行及时的协商解决,如不能协商解决可向甲方所在地人民法院诉讼解决。其它未尽事宜,由双方友好协商解决,并参照《中华人民共和国民法典》有关条款执行。</w:t>
      </w:r>
    </w:p>
    <w:p w14:paraId="565B0B90">
      <w:pPr>
        <w:tabs>
          <w:tab w:val="left" w:pos="980"/>
        </w:tabs>
        <w:spacing w:line="360" w:lineRule="auto"/>
        <w:rPr>
          <w:rFonts w:hint="eastAsia" w:ascii="宋体" w:hAnsi="宋体" w:cs="宋体"/>
          <w:b/>
          <w:bCs/>
          <w:sz w:val="24"/>
          <w:highlight w:val="none"/>
        </w:rPr>
      </w:pPr>
      <w:r>
        <w:rPr>
          <w:rFonts w:hint="eastAsia" w:ascii="宋体" w:hAnsi="宋体" w:cs="宋体"/>
          <w:b/>
          <w:bCs/>
          <w:sz w:val="24"/>
          <w:highlight w:val="none"/>
        </w:rPr>
        <w:t>第九条  监督和管理</w:t>
      </w:r>
    </w:p>
    <w:p w14:paraId="5F14EE65">
      <w:pPr>
        <w:tabs>
          <w:tab w:val="left" w:pos="98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政府采购合同履行中，采购人需追加与合同标的相同的货物、工程或者服务的，在不改变合同其他条款的前提下，可以与供应商协商签订补充合同，但所有补充合同的采购金额不得超过原合同采购金额的百分之十。</w:t>
      </w:r>
    </w:p>
    <w:p w14:paraId="68287087">
      <w:pPr>
        <w:tabs>
          <w:tab w:val="left" w:pos="98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2、甲乙双方均应自觉配合有关监督管理部门对合同履行情况的监督检查，如实反映情况，提供有关资料；否则，将对有关单位、当事人按照有关规定予以处罚。</w:t>
      </w:r>
    </w:p>
    <w:p w14:paraId="4BB723EC">
      <w:pPr>
        <w:tabs>
          <w:tab w:val="left" w:pos="980"/>
        </w:tabs>
        <w:spacing w:line="360" w:lineRule="auto"/>
        <w:rPr>
          <w:rFonts w:hint="eastAsia" w:ascii="宋体" w:hAnsi="宋体" w:cs="宋体"/>
          <w:b/>
          <w:bCs/>
          <w:sz w:val="24"/>
          <w:highlight w:val="none"/>
        </w:rPr>
      </w:pPr>
      <w:r>
        <w:rPr>
          <w:rFonts w:hint="eastAsia" w:ascii="宋体" w:hAnsi="宋体" w:cs="宋体"/>
          <w:b/>
          <w:bCs/>
          <w:sz w:val="24"/>
          <w:highlight w:val="none"/>
        </w:rPr>
        <w:t>第十条 无效合同</w:t>
      </w:r>
    </w:p>
    <w:p w14:paraId="4CCC51C6">
      <w:pPr>
        <w:tabs>
          <w:tab w:val="left" w:pos="98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甲乙双方如因违反政府采购法及相关法律法规的规定，被宣告合同无效的，一切责任概由过错方自行承担。</w:t>
      </w:r>
    </w:p>
    <w:p w14:paraId="73A5C1B1">
      <w:pPr>
        <w:tabs>
          <w:tab w:val="left" w:pos="980"/>
        </w:tabs>
        <w:spacing w:line="360" w:lineRule="auto"/>
        <w:rPr>
          <w:rFonts w:hint="eastAsia" w:ascii="宋体" w:hAnsi="宋体" w:cs="宋体"/>
          <w:b/>
          <w:bCs/>
          <w:sz w:val="24"/>
          <w:highlight w:val="none"/>
        </w:rPr>
      </w:pPr>
      <w:r>
        <w:rPr>
          <w:rFonts w:hint="eastAsia" w:ascii="宋体" w:hAnsi="宋体" w:cs="宋体"/>
          <w:b/>
          <w:bCs/>
          <w:sz w:val="24"/>
          <w:highlight w:val="none"/>
        </w:rPr>
        <w:t>第十一条 附则</w:t>
      </w:r>
    </w:p>
    <w:p w14:paraId="1F8FEB38">
      <w:pPr>
        <w:tabs>
          <w:tab w:val="left" w:pos="98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1、政府采购项目的招标文件、中标通知书、乙方投标文件及澄清说明文件都是本合同的组成部分，甲、乙双方必须全面遵守，如有违反，应承担违约责任。</w:t>
      </w:r>
    </w:p>
    <w:p w14:paraId="3E672E56">
      <w:pPr>
        <w:tabs>
          <w:tab w:val="left" w:pos="980"/>
        </w:tabs>
        <w:spacing w:line="360" w:lineRule="auto"/>
        <w:ind w:left="210" w:leftChars="100" w:firstLine="240" w:firstLineChars="100"/>
        <w:rPr>
          <w:rFonts w:hint="eastAsia" w:ascii="宋体" w:hAnsi="宋体" w:cs="宋体"/>
          <w:sz w:val="24"/>
          <w:highlight w:val="none"/>
        </w:rPr>
      </w:pPr>
      <w:r>
        <w:rPr>
          <w:rFonts w:hint="eastAsia" w:ascii="宋体" w:hAnsi="宋体" w:cs="宋体"/>
          <w:sz w:val="24"/>
          <w:highlight w:val="none"/>
        </w:rPr>
        <w:t>2、本合同一式</w:t>
      </w:r>
      <w:r>
        <w:rPr>
          <w:rFonts w:hint="eastAsia" w:ascii="宋体" w:hAnsi="宋体" w:cs="宋体"/>
          <w:sz w:val="24"/>
          <w:highlight w:val="none"/>
          <w:u w:val="single"/>
        </w:rPr>
        <w:t xml:space="preserve">    </w:t>
      </w:r>
      <w:r>
        <w:rPr>
          <w:rFonts w:hint="eastAsia" w:ascii="宋体" w:hAnsi="宋体" w:cs="宋体"/>
          <w:sz w:val="24"/>
          <w:highlight w:val="none"/>
        </w:rPr>
        <w:t>份,甲乙双方各执</w:t>
      </w:r>
      <w:r>
        <w:rPr>
          <w:rFonts w:hint="eastAsia" w:ascii="宋体" w:hAnsi="宋体" w:cs="宋体"/>
          <w:sz w:val="24"/>
          <w:highlight w:val="none"/>
          <w:u w:val="single"/>
        </w:rPr>
        <w:t xml:space="preserve">     </w:t>
      </w:r>
      <w:r>
        <w:rPr>
          <w:rFonts w:hint="eastAsia" w:ascii="宋体" w:hAnsi="宋体" w:cs="宋体"/>
          <w:sz w:val="24"/>
          <w:highlight w:val="none"/>
        </w:rPr>
        <w:t>份,政府采购监督管理机构</w:t>
      </w:r>
      <w:r>
        <w:rPr>
          <w:rFonts w:hint="eastAsia" w:ascii="宋体" w:hAnsi="宋体" w:cs="宋体"/>
          <w:sz w:val="24"/>
          <w:highlight w:val="none"/>
          <w:u w:val="single"/>
        </w:rPr>
        <w:t xml:space="preserve">     </w:t>
      </w:r>
      <w:r>
        <w:rPr>
          <w:rFonts w:hint="eastAsia" w:ascii="宋体" w:hAnsi="宋体" w:cs="宋体"/>
          <w:sz w:val="24"/>
          <w:highlight w:val="none"/>
        </w:rPr>
        <w:t>份,采购代理机构</w:t>
      </w:r>
      <w:r>
        <w:rPr>
          <w:rFonts w:hint="eastAsia" w:ascii="宋体" w:hAnsi="宋体" w:cs="宋体"/>
          <w:sz w:val="24"/>
          <w:highlight w:val="none"/>
          <w:u w:val="single"/>
        </w:rPr>
        <w:t xml:space="preserve">    </w:t>
      </w:r>
      <w:r>
        <w:rPr>
          <w:rFonts w:hint="eastAsia" w:ascii="宋体" w:hAnsi="宋体" w:cs="宋体"/>
          <w:sz w:val="24"/>
          <w:highlight w:val="none"/>
        </w:rPr>
        <w:t>份。</w:t>
      </w:r>
    </w:p>
    <w:p w14:paraId="7CC234BF">
      <w:pPr>
        <w:tabs>
          <w:tab w:val="left" w:pos="98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3、本合同自双方签字盖章或盖章之日起生效。</w:t>
      </w:r>
    </w:p>
    <w:p w14:paraId="08B17F2B">
      <w:pPr>
        <w:adjustRightInd w:val="0"/>
        <w:snapToGrid w:val="0"/>
        <w:spacing w:line="440" w:lineRule="exact"/>
        <w:ind w:firstLine="480" w:firstLineChars="200"/>
        <w:rPr>
          <w:rFonts w:hint="eastAsia" w:ascii="宋体" w:hAnsi="宋体" w:cs="宋体"/>
          <w:sz w:val="24"/>
          <w:highlight w:val="none"/>
        </w:rPr>
      </w:pPr>
    </w:p>
    <w:p w14:paraId="59459533">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甲方（盖章）：</w:t>
      </w:r>
      <w:r>
        <w:rPr>
          <w:rFonts w:hint="eastAsia" w:ascii="宋体" w:hAnsi="宋体" w:cs="宋体"/>
          <w:sz w:val="24"/>
          <w:highlight w:val="none"/>
          <w:u w:val="single"/>
        </w:rPr>
        <w:t xml:space="preserve">            </w:t>
      </w:r>
      <w:r>
        <w:rPr>
          <w:rFonts w:hint="eastAsia" w:ascii="宋体" w:hAnsi="宋体" w:cs="宋体"/>
          <w:sz w:val="24"/>
          <w:highlight w:val="none"/>
        </w:rPr>
        <w:t xml:space="preserve">         乙方（盖章）：</w:t>
      </w:r>
      <w:r>
        <w:rPr>
          <w:rFonts w:hint="eastAsia" w:ascii="宋体" w:hAnsi="宋体" w:cs="宋体"/>
          <w:sz w:val="24"/>
          <w:highlight w:val="none"/>
          <w:u w:val="single"/>
        </w:rPr>
        <w:t xml:space="preserve">             </w:t>
      </w:r>
    </w:p>
    <w:p w14:paraId="0646D9C0">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地  址：</w:t>
      </w:r>
      <w:r>
        <w:rPr>
          <w:rFonts w:hint="eastAsia" w:ascii="宋体" w:hAnsi="宋体" w:cs="宋体"/>
          <w:sz w:val="24"/>
          <w:highlight w:val="none"/>
          <w:u w:val="single"/>
        </w:rPr>
        <w:t xml:space="preserve">                    </w:t>
      </w:r>
      <w:r>
        <w:rPr>
          <w:rFonts w:hint="eastAsia" w:ascii="宋体" w:hAnsi="宋体" w:cs="宋体"/>
          <w:sz w:val="24"/>
          <w:highlight w:val="none"/>
        </w:rPr>
        <w:t xml:space="preserve">       地  址：</w:t>
      </w:r>
      <w:r>
        <w:rPr>
          <w:rFonts w:hint="eastAsia" w:ascii="宋体" w:hAnsi="宋体" w:cs="宋体"/>
          <w:sz w:val="24"/>
          <w:highlight w:val="none"/>
          <w:u w:val="single"/>
        </w:rPr>
        <w:t xml:space="preserve">                     </w:t>
      </w:r>
    </w:p>
    <w:p w14:paraId="417128AB">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邮政编码：</w:t>
      </w:r>
      <w:r>
        <w:rPr>
          <w:rFonts w:hint="eastAsia" w:ascii="宋体" w:hAnsi="宋体" w:cs="宋体"/>
          <w:sz w:val="24"/>
          <w:highlight w:val="none"/>
          <w:u w:val="single"/>
        </w:rPr>
        <w:t xml:space="preserve">                  </w:t>
      </w:r>
      <w:r>
        <w:rPr>
          <w:rFonts w:hint="eastAsia" w:ascii="宋体" w:hAnsi="宋体" w:cs="宋体"/>
          <w:sz w:val="24"/>
          <w:highlight w:val="none"/>
        </w:rPr>
        <w:t xml:space="preserve">       邮政编码：</w:t>
      </w:r>
      <w:r>
        <w:rPr>
          <w:rFonts w:hint="eastAsia" w:ascii="宋体" w:hAnsi="宋体" w:cs="宋体"/>
          <w:sz w:val="24"/>
          <w:highlight w:val="none"/>
          <w:u w:val="single"/>
        </w:rPr>
        <w:t xml:space="preserve">                   </w:t>
      </w:r>
    </w:p>
    <w:p w14:paraId="0BBBF8EB">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法定代表人或其授权                 法定代表人或其授权</w:t>
      </w:r>
    </w:p>
    <w:p w14:paraId="012D797B">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的代理人（签字）：</w:t>
      </w:r>
      <w:r>
        <w:rPr>
          <w:rFonts w:hint="eastAsia" w:ascii="宋体" w:hAnsi="宋体" w:cs="宋体"/>
          <w:sz w:val="24"/>
          <w:highlight w:val="none"/>
          <w:u w:val="single"/>
        </w:rPr>
        <w:t xml:space="preserve">          </w:t>
      </w:r>
      <w:r>
        <w:rPr>
          <w:rFonts w:hint="eastAsia" w:ascii="宋体" w:hAnsi="宋体" w:cs="宋体"/>
          <w:sz w:val="24"/>
          <w:highlight w:val="none"/>
        </w:rPr>
        <w:t xml:space="preserve">        的代理人（签字）：</w:t>
      </w:r>
      <w:r>
        <w:rPr>
          <w:rFonts w:hint="eastAsia" w:ascii="宋体" w:hAnsi="宋体" w:cs="宋体"/>
          <w:sz w:val="24"/>
          <w:highlight w:val="none"/>
          <w:u w:val="single"/>
        </w:rPr>
        <w:t xml:space="preserve">          </w:t>
      </w:r>
    </w:p>
    <w:p w14:paraId="52DBC576">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开户银行：</w:t>
      </w:r>
      <w:r>
        <w:rPr>
          <w:rFonts w:hint="eastAsia" w:ascii="宋体" w:hAnsi="宋体" w:cs="宋体"/>
          <w:sz w:val="24"/>
          <w:highlight w:val="none"/>
          <w:u w:val="single"/>
        </w:rPr>
        <w:t xml:space="preserve">                  </w:t>
      </w:r>
      <w:r>
        <w:rPr>
          <w:rFonts w:hint="eastAsia" w:ascii="宋体" w:hAnsi="宋体" w:cs="宋体"/>
          <w:sz w:val="24"/>
          <w:highlight w:val="none"/>
        </w:rPr>
        <w:t xml:space="preserve">        开户银行：</w:t>
      </w:r>
      <w:r>
        <w:rPr>
          <w:rFonts w:hint="eastAsia" w:ascii="宋体" w:hAnsi="宋体" w:cs="宋体"/>
          <w:sz w:val="24"/>
          <w:highlight w:val="none"/>
          <w:u w:val="single"/>
        </w:rPr>
        <w:t xml:space="preserve">                  </w:t>
      </w:r>
    </w:p>
    <w:p w14:paraId="53184CC1">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账号：</w:t>
      </w:r>
      <w:r>
        <w:rPr>
          <w:rFonts w:hint="eastAsia" w:ascii="宋体" w:hAnsi="宋体" w:cs="宋体"/>
          <w:sz w:val="24"/>
          <w:highlight w:val="none"/>
          <w:u w:val="single"/>
        </w:rPr>
        <w:t xml:space="preserve">                      </w:t>
      </w:r>
      <w:r>
        <w:rPr>
          <w:rFonts w:hint="eastAsia" w:ascii="宋体" w:hAnsi="宋体" w:cs="宋体"/>
          <w:sz w:val="24"/>
          <w:highlight w:val="none"/>
        </w:rPr>
        <w:t xml:space="preserve">       账号：</w:t>
      </w:r>
      <w:r>
        <w:rPr>
          <w:rFonts w:hint="eastAsia" w:ascii="宋体" w:hAnsi="宋体" w:cs="宋体"/>
          <w:sz w:val="24"/>
          <w:highlight w:val="none"/>
          <w:u w:val="single"/>
        </w:rPr>
        <w:t xml:space="preserve">                       </w:t>
      </w:r>
    </w:p>
    <w:p w14:paraId="63C923F1">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电话：</w:t>
      </w:r>
      <w:r>
        <w:rPr>
          <w:rFonts w:hint="eastAsia" w:ascii="宋体" w:hAnsi="宋体" w:cs="宋体"/>
          <w:sz w:val="24"/>
          <w:highlight w:val="none"/>
          <w:u w:val="single"/>
        </w:rPr>
        <w:t xml:space="preserve">                      </w:t>
      </w:r>
      <w:r>
        <w:rPr>
          <w:rFonts w:hint="eastAsia" w:ascii="宋体" w:hAnsi="宋体" w:cs="宋体"/>
          <w:sz w:val="24"/>
          <w:highlight w:val="none"/>
        </w:rPr>
        <w:t xml:space="preserve">       电话：</w:t>
      </w:r>
      <w:r>
        <w:rPr>
          <w:rFonts w:hint="eastAsia" w:ascii="宋体" w:hAnsi="宋体" w:cs="宋体"/>
          <w:sz w:val="24"/>
          <w:highlight w:val="none"/>
          <w:u w:val="single"/>
        </w:rPr>
        <w:t xml:space="preserve">                       </w:t>
      </w:r>
    </w:p>
    <w:p w14:paraId="0D9DFAC2">
      <w:pPr>
        <w:adjustRightInd w:val="0"/>
        <w:snapToGrid w:val="0"/>
        <w:spacing w:line="360" w:lineRule="auto"/>
        <w:ind w:firstLine="480" w:firstLineChars="200"/>
        <w:rPr>
          <w:rFonts w:hint="eastAsia" w:ascii="宋体" w:hAnsi="宋体" w:cs="宋体"/>
          <w:sz w:val="24"/>
          <w:highlight w:val="none"/>
        </w:rPr>
      </w:pPr>
      <w:r>
        <w:rPr>
          <w:rFonts w:hint="eastAsia" w:ascii="宋体" w:hAnsi="宋体" w:cs="宋体"/>
          <w:sz w:val="24"/>
          <w:highlight w:val="none"/>
        </w:rPr>
        <w:t>传真：</w:t>
      </w:r>
      <w:r>
        <w:rPr>
          <w:rFonts w:hint="eastAsia" w:ascii="宋体" w:hAnsi="宋体" w:cs="宋体"/>
          <w:sz w:val="24"/>
          <w:highlight w:val="none"/>
          <w:u w:val="single"/>
        </w:rPr>
        <w:t xml:space="preserve">                      </w:t>
      </w:r>
      <w:r>
        <w:rPr>
          <w:rFonts w:hint="eastAsia" w:ascii="宋体" w:hAnsi="宋体" w:cs="宋体"/>
          <w:sz w:val="24"/>
          <w:highlight w:val="none"/>
        </w:rPr>
        <w:t xml:space="preserve">       传真：</w:t>
      </w:r>
      <w:r>
        <w:rPr>
          <w:rFonts w:hint="eastAsia" w:ascii="宋体" w:hAnsi="宋体" w:cs="宋体"/>
          <w:sz w:val="24"/>
          <w:highlight w:val="none"/>
          <w:u w:val="single"/>
        </w:rPr>
        <w:t xml:space="preserve">                       </w:t>
      </w:r>
    </w:p>
    <w:p w14:paraId="5CC10A94">
      <w:pPr>
        <w:adjustRightInd w:val="0"/>
        <w:snapToGrid w:val="0"/>
        <w:spacing w:line="360" w:lineRule="auto"/>
        <w:ind w:firstLine="480" w:firstLineChars="200"/>
        <w:rPr>
          <w:rFonts w:hint="eastAsia" w:ascii="宋体" w:hAnsi="宋体" w:cs="宋体"/>
          <w:sz w:val="24"/>
          <w:highlight w:val="none"/>
          <w:u w:val="single"/>
        </w:rPr>
      </w:pPr>
      <w:r>
        <w:rPr>
          <w:rFonts w:hint="eastAsia" w:ascii="宋体" w:hAnsi="宋体" w:cs="宋体"/>
          <w:sz w:val="24"/>
          <w:highlight w:val="none"/>
        </w:rPr>
        <w:t>电子邮箱：</w:t>
      </w:r>
      <w:r>
        <w:rPr>
          <w:rFonts w:hint="eastAsia" w:ascii="宋体" w:hAnsi="宋体" w:cs="宋体"/>
          <w:sz w:val="24"/>
          <w:highlight w:val="none"/>
          <w:u w:val="single"/>
        </w:rPr>
        <w:t xml:space="preserve">                  </w:t>
      </w:r>
      <w:r>
        <w:rPr>
          <w:rFonts w:hint="eastAsia" w:ascii="宋体" w:hAnsi="宋体" w:cs="宋体"/>
          <w:sz w:val="24"/>
          <w:highlight w:val="none"/>
        </w:rPr>
        <w:t xml:space="preserve">       电子邮箱：</w:t>
      </w:r>
      <w:r>
        <w:rPr>
          <w:rFonts w:hint="eastAsia" w:ascii="宋体" w:hAnsi="宋体" w:cs="宋体"/>
          <w:sz w:val="24"/>
          <w:highlight w:val="none"/>
          <w:u w:val="single"/>
        </w:rPr>
        <w:t xml:space="preserve">                   </w:t>
      </w:r>
    </w:p>
    <w:p w14:paraId="3D5E206E">
      <w:pPr>
        <w:adjustRightInd w:val="0"/>
        <w:snapToGrid w:val="0"/>
        <w:spacing w:line="360" w:lineRule="auto"/>
        <w:ind w:firstLine="480" w:firstLineChars="200"/>
        <w:rPr>
          <w:rFonts w:hint="eastAsia" w:ascii="宋体" w:hAnsi="宋体" w:cs="宋体"/>
          <w:b/>
          <w:bCs/>
          <w:sz w:val="32"/>
          <w:szCs w:val="32"/>
          <w:highlight w:val="none"/>
        </w:rPr>
      </w:pPr>
      <w:r>
        <w:rPr>
          <w:rFonts w:hint="eastAsia" w:ascii="宋体" w:hAnsi="宋体" w:cs="宋体"/>
          <w:sz w:val="24"/>
          <w:highlight w:val="none"/>
        </w:rPr>
        <w:t xml:space="preserve">日期： </w:t>
      </w:r>
      <w:r>
        <w:rPr>
          <w:rFonts w:hint="eastAsia" w:ascii="宋体" w:hAnsi="宋体" w:cs="宋体"/>
          <w:sz w:val="24"/>
          <w:highlight w:val="none"/>
          <w:u w:val="single"/>
        </w:rPr>
        <w:t xml:space="preserve">                     </w:t>
      </w:r>
      <w:r>
        <w:rPr>
          <w:rFonts w:hint="eastAsia" w:ascii="宋体" w:hAnsi="宋体" w:cs="宋体"/>
          <w:sz w:val="24"/>
          <w:highlight w:val="none"/>
        </w:rPr>
        <w:t xml:space="preserve">       日期：</w:t>
      </w:r>
      <w:r>
        <w:rPr>
          <w:rFonts w:hint="eastAsia" w:ascii="宋体" w:hAnsi="宋体" w:cs="宋体"/>
          <w:sz w:val="24"/>
          <w:highlight w:val="none"/>
          <w:u w:val="single"/>
        </w:rPr>
        <w:t xml:space="preserve">                       </w:t>
      </w:r>
      <w:r>
        <w:rPr>
          <w:rFonts w:hint="eastAsia" w:eastAsia="楷体"/>
          <w:highlight w:val="none"/>
        </w:rPr>
        <w:t xml:space="preserve">  </w:t>
      </w:r>
    </w:p>
    <w:p w14:paraId="77DDB53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90151F"/>
    <w:multiLevelType w:val="singleLevel"/>
    <w:tmpl w:val="5E90151F"/>
    <w:lvl w:ilvl="0" w:tentative="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552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qFormat/>
    <w:uiPriority w:val="0"/>
    <w:pPr>
      <w:keepNext/>
      <w:keepLines/>
      <w:spacing w:before="340" w:after="330" w:line="578" w:lineRule="auto"/>
      <w:outlineLvl w:val="0"/>
    </w:pPr>
    <w:rPr>
      <w:rFonts w:ascii="Times New Roman" w:hAnsi="Times New Roman"/>
      <w:kern w:val="44"/>
      <w:sz w:val="44"/>
      <w:szCs w:val="44"/>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Title"/>
    <w:basedOn w:val="1"/>
    <w:next w:val="1"/>
    <w:qFormat/>
    <w:uiPriority w:val="0"/>
    <w:pPr>
      <w:spacing w:before="240" w:after="60"/>
      <w:jc w:val="center"/>
      <w:outlineLvl w:val="0"/>
    </w:pPr>
    <w:rPr>
      <w:rFonts w:ascii="Cambria" w:hAnsi="Cambria" w:cs="Times New Roman"/>
      <w:b/>
      <w:bCs/>
      <w:sz w:val="32"/>
      <w:szCs w:val="32"/>
    </w:rPr>
  </w:style>
  <w:style w:type="paragraph" w:styleId="4">
    <w:name w:val="Plain Text"/>
    <w:basedOn w:val="1"/>
    <w:next w:val="1"/>
    <w:uiPriority w:val="0"/>
    <w:rPr>
      <w:rFonts w:ascii="宋体" w:hAnsi="Courier New"/>
      <w:szCs w:val="20"/>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2026-04-01T04:02:14Z</dcterms:created>
  <dc:creator>Administrator</dc:creator>
  <cp:lastModifiedBy>Queen €</cp:lastModifiedBy>
  <dcterms:modified xsi:type="dcterms:W3CDTF">2026-04-01T04:06:58Z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eyJoZGlkIjoiYWRjMzBlMWQzZmM1NDJkMmNkYmE4YWQ2ZDRkNzI2NTUiLCJ1c2VySWQiOiI0NzQ4MzU5MjEifQ==</vt:lpwstr>
  </property>
  <property fmtid="{D5CDD505-2E9C-101B-9397-08002B2CF9AE}" pid="4" name="ICV">
    <vt:lpwstr>8D59D11E5DE64E16BC7A8CDE1DFDCE9A_12</vt:lpwstr>
  </property>
</Properties>
</file>