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版本号：RH采字【20260301】号20260304001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2026年节日花卉景观布置项目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RH采字【20260301】号</w:t>
      </w:r>
      <w:r>
        <w:br/>
      </w:r>
      <w:r>
        <w:br/>
      </w:r>
      <w:r>
        <w:br/>
      </w:r>
    </w:p>
    <w:p>
      <w:pPr>
        <w:pStyle w:val="null3"/>
        <w:jc w:val="center"/>
        <w:outlineLvl w:val="2"/>
      </w:pPr>
      <w:r>
        <w:rPr>
          <w:rFonts w:ascii="仿宋_GB2312" w:hAnsi="仿宋_GB2312" w:cs="仿宋_GB2312" w:eastAsia="仿宋_GB2312"/>
          <w:sz w:val="28"/>
          <w:b/>
        </w:rPr>
        <w:t>蒲城县城市管理执法局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蒲城县城市管理执法局</w:t>
      </w:r>
      <w:r>
        <w:rPr>
          <w:rFonts w:ascii="仿宋_GB2312" w:hAnsi="仿宋_GB2312" w:cs="仿宋_GB2312" w:eastAsia="仿宋_GB2312"/>
        </w:rPr>
        <w:t>委托，拟对</w:t>
      </w:r>
      <w:r>
        <w:rPr>
          <w:rFonts w:ascii="仿宋_GB2312" w:hAnsi="仿宋_GB2312" w:cs="仿宋_GB2312" w:eastAsia="仿宋_GB2312"/>
        </w:rPr>
        <w:t>2026年节日花卉景观布置项目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RH采字【20260301】号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2026年节日花卉景观布置项目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蒲城县城区内在指定的十一处地点按照项目方案总体要求进行鲜花造型的布置及后期景观维护，具体内容详见采购文件。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采购包1（2026年节日花卉景观布置项目）：属于专门面向中小企业采购。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7、声明函：本项目不接受联合体投标；单位负责人为同一人或者存在控股、管理关系的不同单位，不得参加同一项目的投标；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陕西省渭南市蒲城县长乐路与东环路十字向东50米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杜陕青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0913-7206926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 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029-81213967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蒲城县城市管理执法局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蒲城县城区内在指定的十一处地点按照项目方案总体要求进行鲜花造型的布置及后期景观维护，具体内容详见采购文件。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1,235,000.00</w:t>
      </w:r>
    </w:p>
    <w:p>
      <w:pPr>
        <w:pStyle w:val="null3"/>
      </w:pPr>
      <w:r>
        <w:rPr>
          <w:rFonts w:ascii="仿宋_GB2312" w:hAnsi="仿宋_GB2312" w:cs="仿宋_GB2312" w:eastAsia="仿宋_GB2312"/>
        </w:rPr>
        <w:t>采购包最高限价（元）: 1,235,000.00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花卉景观布置项目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标的名称：花卉景观布置项目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8"/>
              <w:gridCol w:w="538"/>
              <w:gridCol w:w="457"/>
              <w:gridCol w:w="215"/>
              <w:gridCol w:w="372"/>
              <w:gridCol w:w="731"/>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地点一</w:t>
                  </w: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艺术展品提升改造</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新做艺术展品</w:t>
                  </w:r>
                  <w:r>
                    <w:rPr>
                      <w:rFonts w:ascii="仿宋_GB2312" w:hAnsi="仿宋_GB2312" w:cs="仿宋_GB2312" w:eastAsia="仿宋_GB2312"/>
                      <w:sz w:val="22"/>
                      <w:color w:val="000000"/>
                    </w:rPr>
                    <w:t>4小组，提升改造1小组</w:t>
                  </w: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铁树</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120-200cm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南天竹</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80-100cm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高山黄杨球</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130-150cm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角堇（红色）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m³</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土工布</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围栏</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地点二</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艺术展品提升改造</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日晷更换字体及提升改造</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底层为木板装订，仿真草坪铺设表层，长</w:t>
                  </w:r>
                  <w:r>
                    <w:rPr>
                      <w:rFonts w:ascii="仿宋_GB2312" w:hAnsi="仿宋_GB2312" w:cs="仿宋_GB2312" w:eastAsia="仿宋_GB2312"/>
                      <w:sz w:val="22"/>
                      <w:color w:val="000000"/>
                    </w:rPr>
                    <w:t>46.7米，宽2.75米，材质为胶工板，上层更换双层字体一组12字及“蒲城地标和特产”艺术造型，字体大小1.6米-1.8米，PVC材质</w:t>
                  </w: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角堇（亮黄）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角堇（灯塔）</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地点三</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角堇（灯塔）</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角堇（红色）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地点四</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角堇（亮黄）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地点五</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地点六</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角堇（灯塔）</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角堇（大红）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地点七</w:t>
                  </w: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角堇（蓝色）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角堇（橘黄）</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角堇（红色）</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火焰南天竹</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30-35cm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围栏</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保温棉</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地点八</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橘色角堇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火焰南天竹</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30-35cm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围栏</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m³</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保温棉</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地点九</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r>
                    <w:rPr>
                      <w:rFonts w:ascii="仿宋_GB2312" w:hAnsi="仿宋_GB2312" w:cs="仿宋_GB2312" w:eastAsia="仿宋_GB2312"/>
                      <w:sz w:val="22"/>
                      <w:color w:val="000000"/>
                    </w:rPr>
                    <w:t>(红)</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大红角堇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橘色角堇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灯塔角堇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火焰南天竹</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30-35cm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保温棉</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m³</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围栏</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大红角堇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橘色角堇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双色角堇</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双色盆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火焰南天竹</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30-35cm</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m³</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围栏</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vMerge/>
                  <w:tcBorders>
                    <w:top w:val="none" w:color="000000" w:sz="4"/>
                    <w:left w:val="single" w:color="000000" w:sz="4"/>
                    <w:bottom w:val="single" w:color="000000" w:sz="4"/>
                    <w:right w:val="single" w:color="000000" w:sz="4"/>
                  </w:tcBorders>
                </w:tc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保温棉</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地点十一</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甘蓝</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营养钵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4"/>
                    </w:rPr>
                    <w:t>营养钵规格：</w:t>
                  </w:r>
                  <w:r>
                    <w:rPr>
                      <w:rFonts w:ascii="仿宋_GB2312" w:hAnsi="仿宋_GB2312" w:cs="仿宋_GB2312" w:eastAsia="仿宋_GB2312"/>
                      <w:sz w:val="24"/>
                    </w:rPr>
                    <w:t>12x13cm（B）</w:t>
                  </w:r>
                  <w:r>
                    <w:br/>
                  </w:r>
                  <w:r>
                    <w:rPr>
                      <w:rFonts w:ascii="仿宋_GB2312" w:hAnsi="仿宋_GB2312" w:cs="仿宋_GB2312" w:eastAsia="仿宋_GB2312"/>
                      <w:sz w:val="21"/>
                    </w:rPr>
                    <w:t xml:space="preserve">      </w:t>
                  </w:r>
                  <w:r>
                    <w:rPr>
                      <w:rFonts w:ascii="仿宋_GB2312" w:hAnsi="仿宋_GB2312" w:cs="仿宋_GB2312" w:eastAsia="仿宋_GB2312"/>
                      <w:sz w:val="24"/>
                    </w:rPr>
                    <w:t>双色盆规格：</w:t>
                  </w:r>
                  <w:r>
                    <w:rPr>
                      <w:rFonts w:ascii="仿宋_GB2312" w:hAnsi="仿宋_GB2312" w:cs="仿宋_GB2312" w:eastAsia="仿宋_GB2312"/>
                      <w:sz w:val="24"/>
                    </w:rPr>
                    <w:t>120 x120mm</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color w:val="000000"/>
              </w:rPr>
              <w:t>二、商务要求</w:t>
            </w:r>
          </w:p>
          <w:p>
            <w:pPr>
              <w:pStyle w:val="null3"/>
            </w:pPr>
            <w:r>
              <w:rPr>
                <w:rFonts w:ascii="仿宋_GB2312" w:hAnsi="仿宋_GB2312" w:cs="仿宋_GB2312" w:eastAsia="仿宋_GB2312"/>
                <w:sz w:val="24"/>
              </w:rPr>
              <w:t>1.服务期限</w:t>
            </w:r>
          </w:p>
          <w:p>
            <w:pPr>
              <w:pStyle w:val="null3"/>
            </w:pPr>
            <w:r>
              <w:rPr>
                <w:rFonts w:ascii="仿宋_GB2312" w:hAnsi="仿宋_GB2312" w:cs="仿宋_GB2312" w:eastAsia="仿宋_GB2312"/>
                <w:sz w:val="24"/>
              </w:rPr>
              <w:t>摆放期</w:t>
            </w:r>
            <w:r>
              <w:rPr>
                <w:rFonts w:ascii="仿宋_GB2312" w:hAnsi="仿宋_GB2312" w:cs="仿宋_GB2312" w:eastAsia="仿宋_GB2312"/>
                <w:sz w:val="24"/>
              </w:rPr>
              <w:t>10天，养护期30天，共计40天。</w:t>
            </w:r>
          </w:p>
          <w:p>
            <w:pPr>
              <w:pStyle w:val="null3"/>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及服务质量</w:t>
            </w:r>
            <w:r>
              <w:rPr>
                <w:rFonts w:ascii="仿宋_GB2312" w:hAnsi="仿宋_GB2312" w:cs="仿宋_GB2312" w:eastAsia="仿宋_GB2312"/>
                <w:sz w:val="24"/>
              </w:rPr>
              <w:t>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）具有类似项目或者鲜花布置服务经验。</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）提供方案，经采购方确认后方可实施，做到按时、保质、保量完成服务，响应及时。</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）所提供绿植及草花应长势旺盛，花卉开放程度适中，颜色鲜艳、纯正，高低整齐，无枯死，无病虫害。设计造型、数量、品种、位置应根据采购人的需求及时进行调整，供应商应随时更换损坏的花卉、盆花。</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）服从采购方现场安排，文明施工，不破坏场地设施，不留垃圾，确保摆放点周围的环境卫生干净整洁。</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摆放期内，自行负责摆放点的管护及防盗工作，负责其所需的水、电设施等，处理与摆放地点的有关管理部门和单位的协调工作，在摆放期间确保交通顺畅，不发生拥堵，摆放期间因花卉摆放产生的意外事故均由供应商负全责。养护期内，供应商须组建专业的养护队伍，每天巡查，发现死株、枯株、长势不良（不得出现黄叶）、花盆损坏或影响观赏效果的需及时更换，确保最佳的观赏效果。</w:t>
            </w:r>
          </w:p>
          <w:p>
            <w:pPr>
              <w:pStyle w:val="null3"/>
            </w:pPr>
            <w:r>
              <w:rPr>
                <w:rFonts w:ascii="仿宋_GB2312" w:hAnsi="仿宋_GB2312" w:cs="仿宋_GB2312" w:eastAsia="仿宋_GB2312"/>
                <w:sz w:val="24"/>
              </w:rPr>
              <w:t>（6）服务期结束后，由供应商负责拆除、清理现场，恢复原貌。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自行安排符合项目完成所需人员。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根据现场需求自行配备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摆放期10天，养护期30天，共计40天。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政府采购合同、磋商文件、乙方的响应文件及承诺为唯一依据。在摆放期间，甲方管理人员及时巡查，发现花卉枯萎影响景观性的，及时要求乙方更换；在养护期间，根据花卉的长势及景观性，及时要求乙方浇水和更换，并做好防盗措施。最终苗木数量以实际进场数量为准，现场管理人员出具服务项目确认单。服务期满后由专家验收小组出具《履约验收报告》，作为付款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合同签订后，供应方向采购方开具增值税发票，采购方收到发票后在10个工作日内向供应商支付合同价款的40%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服务期满验收合格后，在10个工作日内采购方支付供应商合同总价款的剩余款项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（3）未超出采购预算或最高限价（4）符合《开标一览表》的填报要求</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根据本项目需求编制整体服务方案，包括以下4项内容：①工作目标；②定位实施方案；③岗位职责制度与考核办法④本项目重点、难点把控。 二、评审标准完整性：方案须全面，对评审内容中的各项要求有详细描述及说明；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1、供应商制定的整体服务方案理解准确，内容齐全、结构完整、表述准确、条理清晰得20.0分，评审内容每缺失一项，扣5.0分。 2、根据评审标准对供应商整体服务方案进行评审，每项评审内容有一处存在缺陷的扣1.0分。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花卉摆放及养护方案</w:t>
            </w:r>
          </w:p>
        </w:tc>
        <w:tc>
          <w:tcPr>
            <w:tcW w:type="dxa" w:w="2492"/>
          </w:tcPr>
          <w:p>
            <w:pPr>
              <w:pStyle w:val="null3"/>
            </w:pPr>
            <w:r>
              <w:rPr>
                <w:rFonts w:ascii="仿宋_GB2312" w:hAnsi="仿宋_GB2312" w:cs="仿宋_GB2312" w:eastAsia="仿宋_GB2312"/>
              </w:rPr>
              <w:t>一、评审内容 提供花卉摆放及养护方案，包括以下3项内容：①摆花节点花卉及造型的方案设计②后期养护及景观维护（及时浇水、苗木防盗）③绿植及花木更换。 二、评审标准完整性：方案须全面，对评审内容中的各项要求有详细描述及说明； 可实施性：切合本项目实际情况，实施步骤清晰、合理； 针对性：方案能够紧扣项目实际情况，内容科学合理。 三、赋分标准 1、供应商制定的花卉摆放及养护方案对项目要求理解准确，内容齐全、结构完整、表述准确、条理清晰得15.0分，评审内容每缺失一项，扣5.0分。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工作配合保障措施</w:t>
            </w:r>
          </w:p>
        </w:tc>
        <w:tc>
          <w:tcPr>
            <w:tcW w:type="dxa" w:w="2492"/>
          </w:tcPr>
          <w:p>
            <w:pPr>
              <w:pStyle w:val="null3"/>
            </w:pPr>
            <w:r>
              <w:rPr>
                <w:rFonts w:ascii="仿宋_GB2312" w:hAnsi="仿宋_GB2312" w:cs="仿宋_GB2312" w:eastAsia="仿宋_GB2312"/>
              </w:rPr>
              <w:t>一、评审内容 提供服务人员与采购人工作配合的保障措施。包括以下3项内容：① 组织保障②制度与流程保障③沟通与信息保障。二、评审标准完整性：保障措施须全面，对评审内容中的各项要求有详细描述及说明； 可实施性：切合本项目实际情况，实施步骤清晰、合理； 针对性：方案能够紧扣项目实际情况，内容科学合理。 三、赋分标准 1、保障措施对项目要求理解准确，内容齐全、结构完整、表述准确、条理清晰得15.0分，评审内容每缺失一项，扣5.0分。 2、根据评审标准对供应商的保障措施进行评审，每项评审内容有一处存在缺陷的扣1.0分。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提供服务承诺，包括以下3项内容：① 服务质量承诺②服务响应时限承诺③安全保障承诺。二、评审标准完整性：服务承诺须全面，对评审内容中的各项要求有详细描述及说明； 可实施性：切合本项目实际情况，实施步骤清晰、合理； 针对性：方案能够紧扣项目实际情况，内容科学合理。 三、赋分标准 1、服务承诺对项目要求理解准确，内容齐全、结构完整、表述准确、条理清晰得12.0分，评审内容每缺失一项，扣4.0分。 2、根据评审标准对供应商服务承诺进行评审，每项评审内容有一处存在缺陷的扣1.0分。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 拟投入本项目团队方案，包括以下2项内容：①团队人员架构；②岗位人员配置； 二、评审标准 完整性：方案须全面，对评审内容中的各项要求有详细描述及说明； 可实施性：切合本项目实际情况，实施步骤清晰、合理； 针对性：方案能够紧扣项目实际情况，内容科学合理。 三、赋分标准 1、供应商制定的项目团队方案对项目要求理解准确，内容齐全、结构完整、表述准确、条理清晰得10.0分，评审内容每缺失一项，扣5.0分。 2、根据评审标准对供应商团队方案进行评审，每项评审内容有一处存在缺陷的扣1.0分。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根据本项目需求编制应急方案，包括以下2项内容：①服务过程中出现的市场供求变化、恶性天气应急预案；②活动以及服务过程出现问题等特殊或突发事件有相应的应急预案及补救措施； 二、评审标准 完整性：方案须全面，对评审内容中的各项要求有详细描述及说明； 可实施性：切合本项目实际情况，实施步骤清晰、合理； 针对性：方案能够紧扣项目实际情况，内容科学合理。 三、赋分标准 1、供应商制定的应急方案对项目要求理解准确，内容齐全、结构完整、表述准确、条理清晰得8.0分，评审内容每缺失一项，扣4.0分。 2、根据评审标准对供应商应急方案进行评审，每项评审内容有一处存在缺陷的扣1.0分。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提供供应商2023年1月1日至今（以合同签订时间为准）类似项目业绩，每有 1 项得 5 分，最多得 10分。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详见附件：合同条款(3.2).docx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