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版本号：SX-JSZB(2026)-00320260401001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蒲城县城市更新专项规划编制项目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SX-JSZB(2026)-003</w:t>
      </w:r>
      <w:r>
        <w:br/>
      </w:r>
      <w:r>
        <w:br/>
      </w:r>
      <w:r>
        <w:br/>
      </w:r>
    </w:p>
    <w:p>
      <w:pPr>
        <w:pStyle w:val="null3"/>
        <w:jc w:val="center"/>
        <w:outlineLvl w:val="2"/>
      </w:pPr>
      <w:r>
        <w:rPr>
          <w:rFonts w:ascii="仿宋_GB2312" w:hAnsi="仿宋_GB2312" w:cs="仿宋_GB2312" w:eastAsia="仿宋_GB2312"/>
          <w:sz w:val="28"/>
          <w:b/>
        </w:rPr>
        <w:t>蒲城县住房和城乡建设局</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蒲城县住房和城乡建设局</w:t>
      </w:r>
      <w:r>
        <w:rPr>
          <w:rFonts w:ascii="仿宋_GB2312" w:hAnsi="仿宋_GB2312" w:cs="仿宋_GB2312" w:eastAsia="仿宋_GB2312"/>
        </w:rPr>
        <w:t>委托，拟对</w:t>
      </w:r>
      <w:r>
        <w:rPr>
          <w:rFonts w:ascii="仿宋_GB2312" w:hAnsi="仿宋_GB2312" w:cs="仿宋_GB2312" w:eastAsia="仿宋_GB2312"/>
        </w:rPr>
        <w:t>蒲城县城市更新专项规划编制项目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SX-JSZB(2026)-003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蒲城县城市更新专项规划编制项目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市更新是新时期城市工作的重点方向。2025年，住建部明确提出“先体检、后更新”“无体检、不更新”的工作原则，要求建立“体检发现问题、更新解决问题、评估实施效果、推动巩固提升”的闭环工作机制，推动城市体检与城市更新一体化推进。同年，陕西省住房和城乡建设厅印发《陕西省城市更新规划编制导则》（陕建发〔2025〕123号），对全省城市更新规划编制工作提出规范性要求，明确了专项规划的功能定位、编制内容和技术标准，标志着陕西省城市更新工作进入规范化、系统化推进阶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采购包1（蒲城县城市更新专项规划编制项目）：属于专门面向中小企业采购。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8、中小企业声明：本项目为专门面向中小企业采购项目须根据《政府采购促进中小企业发展管理办法》（财库﹝2020﹞46 号）的规定提供《中小企业声明函》；</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10、资质要求：供应商须具备行政主管部门颁发且有效的乙级及以上城乡规划(国土空间规划)编制资质证书。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陕西省渭南市蒲城县城关镇古镇巷1号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0913-7212651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陕西省西安市未央区陕西省西安市经济技术开发区凤城八路158号20幢6层110609室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蒲城县住房和城乡建设局</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响应文件及合同承诺的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市更新是新时期城市工作的重点方向。2025年，住建部明确提出“先体检、后更新”“无体检、不更新”的工作原则，要求建立“体检发现问题、更新解决问题、评估实施效果、推动巩固提升”的闭环工作机制，推动城市体检与城市更新一体化推进。同年，陕西省住房和城乡建设厅印发《陕西省城市更新规划编制导则》（陕建发〔2025〕123号），对全省城市更新规划编制工作提出规范性要求，明确了专项规划的功能定位、编制内容和技术标准，标志着陕西省城市更新工作进入规范化、系统化推进阶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蒲城县城市更新专项规划编制项目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标的名称：蒲城县城市更新专项规划编制项目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城市更新是新时期城市工作的重点方向。2025年，住建部明确提出“先体检、后更新”“无体检、不更新”的工作原则，要求建立“体检发现问题、更新解决问题、评估实施效果、推动巩固提升”的闭环工作机制，推动城市体检与城市更新一体化推进。同年，陕西省住房和城乡建设厅印发《陕西省城市更新规划编制导则》（陕建发〔2025〕123号），对全省城市更新规划编制工作提出规范性要求，明确了专项规划的功能定位、编制内容和技术标准，标志着陕西省城市更新工作进入规范化、系统化推进阶段。</w:t>
            </w:r>
          </w:p>
          <w:p>
            <w:pPr>
              <w:pStyle w:val="null3"/>
            </w:pPr>
            <w:r>
              <w:rPr>
                <w:rFonts w:ascii="仿宋_GB2312" w:hAnsi="仿宋_GB2312" w:cs="仿宋_GB2312" w:eastAsia="仿宋_GB2312"/>
              </w:rPr>
              <w:t>近年来，蒲城县坚持“优布局、抓提升、补短板、强管理”的总体思路，以打造陕西新型工业重镇、关中东部最佳生态宜居地、全国特色农业示范地、区域知名旅游目的地为目标，城市发展正从“补短板”向“提品质”跨越，系统谋划城市更新工作迫在眉睫。本次专项规划将以国土空间总体规划及《陕西省城市更新规划编制导则》（陕建发〔2025〕123号）为依据，加快建立完善“专项规划—片区策划—项目实施方案”的规划实施体系，强化与详细规划、城市体检的统筹衔接。坚持问题导向，将城市体检发现的问题作为城市更新专项规划的工作重点，明确城市更新重点和重点更新对象，科学确定规划目标，统筹部署八大类重点任务，在此基础上，划定更新片区，明确片区更新目标、定位及类型，提出更新模式和更新内容，系统谋划，推动城市更新项目储备与实施时序的有效衔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rPr>
              <w:t>二、服务内容</w:t>
            </w:r>
          </w:p>
          <w:p>
            <w:pPr>
              <w:pStyle w:val="null3"/>
            </w:pPr>
            <w:r>
              <w:rPr>
                <w:rFonts w:ascii="仿宋_GB2312" w:hAnsi="仿宋_GB2312" w:cs="仿宋_GB2312" w:eastAsia="仿宋_GB2312"/>
              </w:rPr>
              <w:t>本次城市更新范围为蒲城县中心城区建成区，面积约21.41平方公里，规划期限为2026—2030年。规划以问题导向与目标导向相结合，衔接蒲城县国土空间总体规划及详细规划要求，明确城市更新总体目标和年度工作目标，围绕既有建筑改造利用、城镇老旧小区整治改造、完整社区建设、城市功能完善、基础设施改造、城市生态系统修复、历史文化保护传承等方面细化重点任务，统筹考虑功能布局、问题分布、更新潜力等因素，合理划定城市更新片区，明确更新时序安排；按照“谋划一批、储备一批、实施一批”的原则，建立城市更新项目库，并从土地、财政、金融、政策等方面提出配套保障措施建议。主要工作安排如下：</w:t>
            </w:r>
          </w:p>
          <w:p>
            <w:pPr>
              <w:pStyle w:val="null3"/>
            </w:pPr>
            <w:r>
              <w:rPr>
                <w:rFonts w:ascii="仿宋_GB2312" w:hAnsi="仿宋_GB2312" w:cs="仿宋_GB2312" w:eastAsia="仿宋_GB2312"/>
              </w:rPr>
              <w:t>1.收集城市更新基础资料</w:t>
            </w:r>
          </w:p>
          <w:p>
            <w:pPr>
              <w:pStyle w:val="null3"/>
            </w:pPr>
            <w:r>
              <w:rPr>
                <w:rFonts w:ascii="仿宋_GB2312" w:hAnsi="仿宋_GB2312" w:cs="仿宋_GB2312" w:eastAsia="仿宋_GB2312"/>
              </w:rPr>
              <w:t>（1）摸清现状底数：全面掌握蒲城县中心城区基础数据。</w:t>
            </w:r>
          </w:p>
          <w:p>
            <w:pPr>
              <w:pStyle w:val="null3"/>
            </w:pPr>
            <w:r>
              <w:rPr>
                <w:rFonts w:ascii="仿宋_GB2312" w:hAnsi="仿宋_GB2312" w:cs="仿宋_GB2312" w:eastAsia="仿宋_GB2312"/>
              </w:rPr>
              <w:t>（2）识别问题短板：结合城市体检成果，深入查找突出问题。</w:t>
            </w:r>
          </w:p>
          <w:p>
            <w:pPr>
              <w:pStyle w:val="null3"/>
            </w:pPr>
            <w:r>
              <w:rPr>
                <w:rFonts w:ascii="仿宋_GB2312" w:hAnsi="仿宋_GB2312" w:cs="仿宋_GB2312" w:eastAsia="仿宋_GB2312"/>
              </w:rPr>
              <w:t>（3）收集部门需求：了解各相关部门对城市更新的意见建议。</w:t>
            </w:r>
          </w:p>
          <w:p>
            <w:pPr>
              <w:pStyle w:val="null3"/>
            </w:pPr>
            <w:r>
              <w:rPr>
                <w:rFonts w:ascii="仿宋_GB2312" w:hAnsi="仿宋_GB2312" w:cs="仿宋_GB2312" w:eastAsia="仿宋_GB2312"/>
              </w:rPr>
              <w:t>（4）听取群众诉求：深入社区了解居民实际需求。</w:t>
            </w:r>
          </w:p>
          <w:p>
            <w:pPr>
              <w:pStyle w:val="null3"/>
            </w:pPr>
            <w:r>
              <w:rPr>
                <w:rFonts w:ascii="仿宋_GB2312" w:hAnsi="仿宋_GB2312" w:cs="仿宋_GB2312" w:eastAsia="仿宋_GB2312"/>
              </w:rPr>
              <w:t>（5）挖掘特色资源：梳理蒲城历史文化、旅游、产业等方面的特色资源。</w:t>
            </w:r>
          </w:p>
          <w:p>
            <w:pPr>
              <w:pStyle w:val="null3"/>
            </w:pPr>
            <w:r>
              <w:rPr>
                <w:rFonts w:ascii="仿宋_GB2312" w:hAnsi="仿宋_GB2312" w:cs="仿宋_GB2312" w:eastAsia="仿宋_GB2312"/>
              </w:rPr>
              <w:t>2.现状分析与问题诊断</w:t>
            </w:r>
          </w:p>
          <w:p>
            <w:pPr>
              <w:pStyle w:val="null3"/>
            </w:pPr>
            <w:r>
              <w:rPr>
                <w:rFonts w:ascii="仿宋_GB2312" w:hAnsi="仿宋_GB2312" w:cs="仿宋_GB2312" w:eastAsia="仿宋_GB2312"/>
              </w:rPr>
              <w:t>整理汇总调研资料，建立现状数据库；开展土地利用、建筑质量、人口分布、设施覆盖等专项分析；结合城市体检成果，形成城市问题诊断报告；识别重点更新区域和重点更新对象。</w:t>
            </w:r>
          </w:p>
          <w:p>
            <w:pPr>
              <w:pStyle w:val="null3"/>
            </w:pPr>
            <w:r>
              <w:rPr>
                <w:rFonts w:ascii="仿宋_GB2312" w:hAnsi="仿宋_GB2312" w:cs="仿宋_GB2312" w:eastAsia="仿宋_GB2312"/>
              </w:rPr>
              <w:t>3.规划研究与方案编制</w:t>
            </w:r>
          </w:p>
          <w:p>
            <w:pPr>
              <w:pStyle w:val="null3"/>
            </w:pPr>
            <w:r>
              <w:rPr>
                <w:rFonts w:ascii="仿宋_GB2312" w:hAnsi="仿宋_GB2312" w:cs="仿宋_GB2312" w:eastAsia="仿宋_GB2312"/>
              </w:rPr>
              <w:t>研究确定城市更新总体目标和阶段目标，构建城市更新指标体系。明确城市更新重点任务（八大类），划定城市更新片区，明确各片区更新定位、类型和模式，开展专项规划衔接研究（停车设施、交通、“十五五”规划等），形成规划初步方案，组织内部研讨。</w:t>
            </w:r>
          </w:p>
          <w:p>
            <w:pPr>
              <w:pStyle w:val="null3"/>
            </w:pPr>
            <w:r>
              <w:rPr>
                <w:rFonts w:ascii="仿宋_GB2312" w:hAnsi="仿宋_GB2312" w:cs="仿宋_GB2312" w:eastAsia="仿宋_GB2312"/>
              </w:rPr>
              <w:t>4.规划成果编制</w:t>
            </w:r>
          </w:p>
          <w:p>
            <w:pPr>
              <w:pStyle w:val="null3"/>
            </w:pPr>
            <w:r>
              <w:rPr>
                <w:rFonts w:ascii="仿宋_GB2312" w:hAnsi="仿宋_GB2312" w:cs="仿宋_GB2312" w:eastAsia="仿宋_GB2312"/>
              </w:rPr>
              <w:t>按照《陕西省城市更新规划编制导则》要求，编制规划文本；绘制规划图件（更新片区图、重点任务分布图、强度管控图等）；编制规划说明；建立“专项规划—片区策划—项目实施方案”实施体系框架；形成规划草案。</w:t>
            </w:r>
          </w:p>
          <w:p>
            <w:pPr>
              <w:pStyle w:val="null3"/>
            </w:pPr>
            <w:r>
              <w:rPr>
                <w:rFonts w:ascii="仿宋_GB2312" w:hAnsi="仿宋_GB2312" w:cs="仿宋_GB2312" w:eastAsia="仿宋_GB2312"/>
              </w:rPr>
              <w:t>5.征求意见与修改完善</w:t>
            </w:r>
          </w:p>
          <w:p>
            <w:pPr>
              <w:pStyle w:val="null3"/>
            </w:pPr>
            <w:r>
              <w:rPr>
                <w:rFonts w:ascii="仿宋_GB2312" w:hAnsi="仿宋_GB2312" w:cs="仿宋_GB2312" w:eastAsia="仿宋_GB2312"/>
              </w:rPr>
              <w:t>征求相关部门意见，组织召开部门座谈会；组织专家论证会，邀请省市规划专家对规划成果进行评审；开展公众参与，通过公示、座谈会等形式听取公众意见；根据各方意见修改完善规划成果。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rPr>
              <w:t>三、技术要求</w:t>
            </w:r>
          </w:p>
          <w:p>
            <w:pPr>
              <w:pStyle w:val="null3"/>
            </w:pPr>
            <w:r>
              <w:rPr>
                <w:rFonts w:ascii="仿宋_GB2312" w:hAnsi="仿宋_GB2312" w:cs="仿宋_GB2312" w:eastAsia="仿宋_GB2312"/>
              </w:rPr>
              <w:t>1.现状分析与问题诊断技术要求</w:t>
            </w:r>
          </w:p>
          <w:p>
            <w:pPr>
              <w:pStyle w:val="null3"/>
            </w:pPr>
            <w:r>
              <w:rPr>
                <w:rFonts w:ascii="仿宋_GB2312" w:hAnsi="仿宋_GB2312" w:cs="仿宋_GB2312" w:eastAsia="仿宋_GB2312"/>
              </w:rPr>
              <w:t>按照“住房—小区—街区—城区”四个空间尺度，分层级查找安全、设施、环境、管理等方面的短板弱项。充分利用国土空间规划“一张图”、城市国土空间监测、房屋建筑普查等数据资源，结合部门座谈、社区调研、满意度调查和大数据分析，全面采集人口、用地、建筑、基础设施、公共服务、历史文化等基础信息，识别存量资源的更新潜力和重点更新片区。诊断成果应包括问题清单、整治建议清单、资源潜力清单和更新潜力片区图，并重点关注蒲城县老旧小区、历史文化保护、道路交通、公共服务、市政设施及棚户区等领域的突出问题，为后续更新策略制定和项目库建设提供精准支撑。</w:t>
            </w:r>
          </w:p>
          <w:p>
            <w:pPr>
              <w:pStyle w:val="null3"/>
            </w:pPr>
            <w:r>
              <w:rPr>
                <w:rFonts w:ascii="仿宋_GB2312" w:hAnsi="仿宋_GB2312" w:cs="仿宋_GB2312" w:eastAsia="仿宋_GB2312"/>
              </w:rPr>
              <w:t>2.成果编制技术要点</w:t>
            </w:r>
          </w:p>
          <w:p>
            <w:pPr>
              <w:pStyle w:val="null3"/>
            </w:pPr>
            <w:r>
              <w:rPr>
                <w:rFonts w:ascii="仿宋_GB2312" w:hAnsi="仿宋_GB2312" w:cs="仿宋_GB2312" w:eastAsia="仿宋_GB2312"/>
              </w:rPr>
              <w:t>分析与评估技术：运用GIS空间分析进行设施覆盖与服务半径分析，采用空间句法评估街道可达性与空间整合度，借助大数据分析人口流动、职住平衡及空间活力特征，通过建筑信息模型模拟改造方案并测算工程量。方案设计层面，运用城市设计方法进行空间形态与风貌特色塑造，采用模块化标准化设计提升效率，应用绿色建筑技术提升节能环保水平，融入海绵城市理念优化雨水管理。</w:t>
            </w:r>
          </w:p>
          <w:p>
            <w:pPr>
              <w:pStyle w:val="null3"/>
            </w:pPr>
            <w:r>
              <w:rPr>
                <w:rFonts w:ascii="仿宋_GB2312" w:hAnsi="仿宋_GB2312" w:cs="仿宋_GB2312" w:eastAsia="仿宋_GB2312"/>
              </w:rPr>
              <w:t>经济测算技术要点：分类分项测算建设成本、拆迁成本与安置成本，测算土地收益、物业收益与运营收益，运用现金流分析与净现值分析评估资金平衡，设计政府投资、社会资本、混合开发等多元化投融资模式，确保方案的经济可行性与可操作性。</w:t>
            </w:r>
          </w:p>
          <w:p>
            <w:pPr>
              <w:pStyle w:val="null3"/>
            </w:pPr>
            <w:r>
              <w:rPr>
                <w:rFonts w:ascii="仿宋_GB2312" w:hAnsi="仿宋_GB2312" w:cs="仿宋_GB2312" w:eastAsia="仿宋_GB2312"/>
              </w:rPr>
              <w:t>3.成果格式要求</w:t>
            </w:r>
          </w:p>
          <w:p>
            <w:pPr>
              <w:pStyle w:val="null3"/>
            </w:pPr>
            <w:r>
              <w:rPr>
                <w:rFonts w:ascii="仿宋_GB2312" w:hAnsi="仿宋_GB2312" w:cs="仿宋_GB2312" w:eastAsia="仿宋_GB2312"/>
              </w:rPr>
              <w:t>成果编制应严格遵循《陕西省城市更新规划编制导则》要求，由规划文本、规划图表和支撑材料三部分构成，最终提交纸质版成果文件6份、电子版成果文件6份（PDF及DOC格式）。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0"/>
              <w:jc w:val="both"/>
            </w:pPr>
            <w:r>
              <w:rPr>
                <w:rFonts w:ascii="仿宋_GB2312" w:hAnsi="仿宋_GB2312" w:cs="仿宋_GB2312" w:eastAsia="仿宋_GB2312"/>
              </w:rPr>
              <w:t>四、商务要求</w:t>
            </w:r>
          </w:p>
          <w:p>
            <w:pPr>
              <w:pStyle w:val="null3"/>
            </w:pPr>
            <w:r>
              <w:rPr>
                <w:rFonts w:ascii="仿宋_GB2312" w:hAnsi="仿宋_GB2312" w:cs="仿宋_GB2312" w:eastAsia="仿宋_GB2312"/>
              </w:rPr>
              <w:t>1.服务期限</w:t>
            </w:r>
          </w:p>
          <w:p>
            <w:pPr>
              <w:pStyle w:val="null3"/>
            </w:pPr>
            <w:r>
              <w:rPr>
                <w:rFonts w:ascii="仿宋_GB2312" w:hAnsi="仿宋_GB2312" w:cs="仿宋_GB2312" w:eastAsia="仿宋_GB2312"/>
              </w:rPr>
              <w:t>合同签订之日起90天内完成项目全部工作内容并交付成果文件。</w:t>
            </w:r>
          </w:p>
          <w:p>
            <w:pPr>
              <w:pStyle w:val="null3"/>
            </w:pPr>
            <w:r>
              <w:rPr>
                <w:rFonts w:ascii="仿宋_GB2312" w:hAnsi="仿宋_GB2312" w:cs="仿宋_GB2312" w:eastAsia="仿宋_GB2312"/>
              </w:rPr>
              <w:t>（1）15个日历天内完成基础资料收集；</w:t>
            </w:r>
          </w:p>
          <w:p>
            <w:pPr>
              <w:pStyle w:val="null3"/>
            </w:pPr>
            <w:r>
              <w:rPr>
                <w:rFonts w:ascii="仿宋_GB2312" w:hAnsi="仿宋_GB2312" w:cs="仿宋_GB2312" w:eastAsia="仿宋_GB2312"/>
              </w:rPr>
              <w:t>（2）30个日历天内完成现状分析与问题诊断、规划研究与方案编制；</w:t>
            </w:r>
          </w:p>
          <w:p>
            <w:pPr>
              <w:pStyle w:val="null3"/>
            </w:pPr>
            <w:r>
              <w:rPr>
                <w:rFonts w:ascii="仿宋_GB2312" w:hAnsi="仿宋_GB2312" w:cs="仿宋_GB2312" w:eastAsia="仿宋_GB2312"/>
              </w:rPr>
              <w:t>（3）45个日历天完成最终成果。</w:t>
            </w:r>
          </w:p>
          <w:p>
            <w:pPr>
              <w:pStyle w:val="null3"/>
            </w:pPr>
            <w:r>
              <w:rPr>
                <w:rFonts w:ascii="仿宋_GB2312" w:hAnsi="仿宋_GB2312" w:cs="仿宋_GB2312" w:eastAsia="仿宋_GB2312"/>
              </w:rPr>
              <w:t>2.服务地点：蒲城县内，采购人指定地点。</w:t>
            </w:r>
          </w:p>
          <w:p>
            <w:pPr>
              <w:pStyle w:val="null3"/>
            </w:pPr>
            <w:r>
              <w:rPr>
                <w:rFonts w:ascii="仿宋_GB2312" w:hAnsi="仿宋_GB2312" w:cs="仿宋_GB2312" w:eastAsia="仿宋_GB2312"/>
              </w:rPr>
              <w:t>3.质量要求：符合现行国家、行业“合格”标准。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提交初步成果后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成果通过专家验收会后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可采取向甲方所在地仲裁委员会按其仲裁规则申请仲裁或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 号）的规定提供《中小企业声明函》；</w:t>
            </w:r>
          </w:p>
        </w:tc>
        <w:tc>
          <w:tcPr>
            <w:tcW w:type="dxa" w:w="1661"/>
          </w:tcPr>
          <w:p>
            <w:pPr>
              <w:pStyle w:val="null3"/>
            </w:pPr>
            <w:r>
              <w:rPr>
                <w:rFonts w:ascii="仿宋_GB2312" w:hAnsi="仿宋_GB2312" w:cs="仿宋_GB2312" w:eastAsia="仿宋_GB2312"/>
              </w:rPr>
              <w:t>中小企业声明函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供应商须具备行政主管部门颁发且有效的乙级及以上城乡规划(国土空间规划)编制资质证书。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供应商名称应与营业执照等资料相一致</w:t>
            </w:r>
          </w:p>
        </w:tc>
        <w:tc>
          <w:tcPr>
            <w:tcW w:type="dxa" w:w="1661"/>
          </w:tcPr>
          <w:p>
            <w:pPr>
              <w:pStyle w:val="null3"/>
            </w:pPr>
            <w:r>
              <w:rPr>
                <w:rFonts w:ascii="仿宋_GB2312" w:hAnsi="仿宋_GB2312" w:cs="仿宋_GB2312" w:eastAsia="仿宋_GB2312"/>
              </w:rPr>
              <w:t>业绩.docx 服务内容及服务邀请应答表 中小企业声明函 商务应答表 保证金.docx 项目质量保障措施.docx 服务承诺.docx 项目进度安排、保证措施.docx 报价表 项目合理化建议.docx 供应商承诺书.docx 响应文件封面 项目所需人员配备.docx 残疾人福利性单位声明函 项目整体服务方案.docx 标的清单 供应商资格证明文件.docx 项目理解.docx 响应函 本地化服务.docx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业绩.docx 服务内容及服务邀请应答表 中小企业声明函 商务应答表 保证金.docx 项目质量保障措施.docx 服务承诺.docx 项目进度安排、保证措施.docx 报价表 项目合理化建议.docx 供应商承诺书.docx 响应文件封面 项目所需人员配备.docx 残疾人福利性单位声明函 项目整体服务方案.docx 标的清单 项目理解.docx 供应商资格证明文件.docx 响应函 本地化服务.docx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服务期限、响应有效期等符合采购文件要求</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按照磋商文件要求缴纳</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业绩.docx 服务内容及服务邀请应答表 中小企业声明函 商务应答表 保证金.docx 项目质量保障措施.docx 服务承诺.docx 项目进度安排、保证措施.docx 报价表 项目合理化建议.docx 供应商承诺书.docx 响应文件封面 项目所需人员配备.docx 残疾人福利性单位声明函 项目整体服务方案.docx 标的清单 项目理解.docx 供应商资格证明文件.docx 响应函 本地化服务.docx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针对本项目提供的整体服务方案内容，包括但不限于：①服务思路②服务内容③服务方法④服务体系⑤服务响应机制⑥调研安排等；以上①-⑥项内容齐全且无缺陷的得12分，每有一项内容缺项的扣2分;每存在一项缺陷的扣1分，扣完为止。无此项描述的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项目整体服务方案.docx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针对本项目提供的对项目理解和热悉程度内容，包括但不限于:①本项目的基本情况和背景；②工作理解③工作思路；④针对本项目提出研究大纲框架。以上①-④项内容齐全且无缺陷的得12分，每有一项内容缺项的扣3分;每存在一项缺陷的扣1分，扣完为止。无此项描述的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项目质量保障措施</w:t>
            </w:r>
          </w:p>
        </w:tc>
        <w:tc>
          <w:tcPr>
            <w:tcW w:type="dxa" w:w="2492"/>
          </w:tcPr>
          <w:p>
            <w:pPr>
              <w:pStyle w:val="null3"/>
            </w:pPr>
            <w:r>
              <w:rPr>
                <w:rFonts w:ascii="仿宋_GB2312" w:hAnsi="仿宋_GB2312" w:cs="仿宋_GB2312" w:eastAsia="仿宋_GB2312"/>
              </w:rPr>
              <w:t>针对本项目提供的质量保障措施内容，包括但不限于:①质量管理方案②质量管理机构及职责③质量保证措施④质量保障承诺;以上①-④项内容齐全且无缺陷的得8分，每有项内容缺项的扣2分;每存在一项缺陷的扣1分，扣完为止。无此项 描述的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项目质量保障措施.docx</w:t>
            </w:r>
          </w:p>
        </w:tc>
      </w:tr>
      <w:tr>
        <w:tc>
          <w:tcPr>
            <w:tcW w:type="dxa" w:w="831"/>
            <w:vMerge/>
          </w:tcPr>
          <w:p/>
        </w:tc>
        <w:tc>
          <w:tcPr>
            <w:tcW w:type="dxa" w:w="1661"/>
          </w:tcPr>
          <w:p>
            <w:pPr>
              <w:pStyle w:val="null3"/>
            </w:pPr>
            <w:r>
              <w:rPr>
                <w:rFonts w:ascii="仿宋_GB2312" w:hAnsi="仿宋_GB2312" w:cs="仿宋_GB2312" w:eastAsia="仿宋_GB2312"/>
              </w:rPr>
              <w:t>项目进度安排、保证措施</w:t>
            </w:r>
          </w:p>
        </w:tc>
        <w:tc>
          <w:tcPr>
            <w:tcW w:type="dxa" w:w="2492"/>
          </w:tcPr>
          <w:p>
            <w:pPr>
              <w:pStyle w:val="null3"/>
            </w:pPr>
            <w:r>
              <w:rPr>
                <w:rFonts w:ascii="仿宋_GB2312" w:hAnsi="仿宋_GB2312" w:cs="仿宋_GB2312" w:eastAsia="仿宋_GB2312"/>
              </w:rPr>
              <w:t>针对本项目提供的进度安排及保障措施内容，包括但不限于:①进度计划②工作部署③各阶段实施流程④进度保障措施；以上①-④项内容齐全且无缺陷的得8分，每有一项内容缺项的扣2分;每存在一项缺陷的扣1分，扣完为止。无此项描述的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项目进度安排、保证措施.docx</w:t>
            </w:r>
          </w:p>
        </w:tc>
      </w:tr>
      <w:tr>
        <w:tc>
          <w:tcPr>
            <w:tcW w:type="dxa" w:w="831"/>
            <w:vMerge/>
          </w:tcPr>
          <w:p/>
        </w:tc>
        <w:tc>
          <w:tcPr>
            <w:tcW w:type="dxa" w:w="1661"/>
          </w:tcPr>
          <w:p>
            <w:pPr>
              <w:pStyle w:val="null3"/>
            </w:pPr>
            <w:r>
              <w:rPr>
                <w:rFonts w:ascii="仿宋_GB2312" w:hAnsi="仿宋_GB2312" w:cs="仿宋_GB2312" w:eastAsia="仿宋_GB2312"/>
              </w:rPr>
              <w:t>项目合理化建议</w:t>
            </w:r>
          </w:p>
        </w:tc>
        <w:tc>
          <w:tcPr>
            <w:tcW w:type="dxa" w:w="2492"/>
          </w:tcPr>
          <w:p>
            <w:pPr>
              <w:pStyle w:val="null3"/>
            </w:pPr>
            <w:r>
              <w:rPr>
                <w:rFonts w:ascii="仿宋_GB2312" w:hAnsi="仿宋_GB2312" w:cs="仿宋_GB2312" w:eastAsia="仿宋_GB2312"/>
              </w:rPr>
              <w:t>供应商结合自身技术优势，充分考虑用户的需求发展，提出合理化建议，内容包括：①问题清单； ②围绕项目实际提出策略举措；③解决争议的措施；④合理化建议。 以上①-④项内容齐全且无缺陷的得8分，每有一项内容缺项的扣2分;每存在一项缺陷的扣1分，扣完为止。无此项描述的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项目合理化建议.docx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1、承诺：接受采购人对本项目服务的考核、监督及管理，定期调研采购人对服务质量的满意度并加以改进，确保服务工作的优质高效，得2分。无承诺不得分。 2、承诺：上岗人员固定，不随意更换，若出现服务人员因事、病等不能工作的，能及时调整其他服务人员补充，确保服务工作的正常进行，以及储备可调度人员，调度人员可保障临时性工作需要及突发事件处置，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规划专业中级及以上职称且同时具备注册城乡(城市)规划师的得8分;仅具有规划专业中级及以上职称或注册城乡(城市)规划师其中一项的得4分:其余不得分，本项最多得8分。注:提供项目人员职称证书复印件加盖公章、相关证书复印件加盖公章或中国城市规划协会官方网站截图为评分依据，无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项目所需人员配备.docx</w:t>
            </w:r>
          </w:p>
        </w:tc>
      </w:tr>
      <w:tr>
        <w:tc>
          <w:tcPr>
            <w:tcW w:type="dxa" w:w="831"/>
            <w:vMerge/>
          </w:tcPr>
          <w:p/>
        </w:tc>
        <w:tc>
          <w:tcPr>
            <w:tcW w:type="dxa" w:w="1661"/>
          </w:tcPr>
          <w:p>
            <w:pPr>
              <w:pStyle w:val="null3"/>
            </w:pPr>
            <w:r>
              <w:rPr>
                <w:rFonts w:ascii="仿宋_GB2312" w:hAnsi="仿宋_GB2312" w:cs="仿宋_GB2312" w:eastAsia="仿宋_GB2312"/>
              </w:rPr>
              <w:t>项目组成员情况</w:t>
            </w:r>
          </w:p>
        </w:tc>
        <w:tc>
          <w:tcPr>
            <w:tcW w:type="dxa" w:w="2492"/>
          </w:tcPr>
          <w:p>
            <w:pPr>
              <w:pStyle w:val="null3"/>
            </w:pPr>
            <w:r>
              <w:rPr>
                <w:rFonts w:ascii="仿宋_GB2312" w:hAnsi="仿宋_GB2312" w:cs="仿宋_GB2312" w:eastAsia="仿宋_GB2312"/>
              </w:rPr>
              <w:t>1、项目规划设计组成员需具备注册城市规划师资格或城市规划类中级工程师及以上职称，每增加1人得1分，最多得6分。不响应不得分。2、本项目规划设计组成员中，除规划专业外，同时具备建筑学、风景园林交通、旅游、市政、环境等相关专业的中级及以上工程师(以职称证书为准)。每涵盖上述一个专业得1分，最高得6分。注:1、项目组成员不包含项目负责人。2、提供项目人员职称证书复印件加盖公章、相关证书复印件加盖公章，无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项目所需人员配备.docx</w:t>
            </w:r>
          </w:p>
        </w:tc>
      </w:tr>
      <w:tr>
        <w:tc>
          <w:tcPr>
            <w:tcW w:type="dxa" w:w="831"/>
            <w:vMerge/>
          </w:tcPr>
          <w:p/>
        </w:tc>
        <w:tc>
          <w:tcPr>
            <w:tcW w:type="dxa" w:w="1661"/>
          </w:tcPr>
          <w:p>
            <w:pPr>
              <w:pStyle w:val="null3"/>
            </w:pPr>
            <w:r>
              <w:rPr>
                <w:rFonts w:ascii="仿宋_GB2312" w:hAnsi="仿宋_GB2312" w:cs="仿宋_GB2312" w:eastAsia="仿宋_GB2312"/>
              </w:rPr>
              <w:t>本地化服务</w:t>
            </w:r>
          </w:p>
        </w:tc>
        <w:tc>
          <w:tcPr>
            <w:tcW w:type="dxa" w:w="2492"/>
          </w:tcPr>
          <w:p>
            <w:pPr>
              <w:pStyle w:val="null3"/>
            </w:pPr>
            <w:r>
              <w:rPr>
                <w:rFonts w:ascii="仿宋_GB2312" w:hAnsi="仿宋_GB2312" w:cs="仿宋_GB2312" w:eastAsia="仿宋_GB2312"/>
              </w:rPr>
              <w:t>建立具有蒲城特色的指标体系并对指标进行分析，内容包括：①住宅；②小区（社区）；③街区；④城区。以上①-④项内容齐全且无缺陷的得8分，每有项内容缺项的扣2分;每存在一项缺陷的扣1分，扣完为止。无此项 描述的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本地化服务.docx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提供近三年（2022年1月至今）签署的类似项目业绩。每提供一项得2.5分（以加盖公章的中标通知书或合同复印件为准），满分10分。未提供不得分。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磋商文件要求且最后报价最低的供应商的价格为磋商基准价，其价格分为满分。其他供应商的价格分统一按照下列公式计算：磋商报价得分=10×（磋商基准价/最后磋商报价） 价格分计算：四舍五入，保留两位小数。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详见附件：项目整体服务方案.docx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详见附件：项目质量保障措施.docx</w:t>
      </w:r>
    </w:p>
    <w:p>
      <w:pPr>
        <w:pStyle w:val="null3"/>
        <w:ind w:firstLine="960"/>
      </w:pPr>
      <w:r>
        <w:rPr>
          <w:rFonts w:ascii="仿宋_GB2312" w:hAnsi="仿宋_GB2312" w:cs="仿宋_GB2312" w:eastAsia="仿宋_GB2312"/>
        </w:rPr>
        <w:t>详见附件：项目进度安排、保证措施.docx</w:t>
      </w:r>
    </w:p>
    <w:p>
      <w:pPr>
        <w:pStyle w:val="null3"/>
        <w:ind w:firstLine="960"/>
      </w:pPr>
      <w:r>
        <w:rPr>
          <w:rFonts w:ascii="仿宋_GB2312" w:hAnsi="仿宋_GB2312" w:cs="仿宋_GB2312" w:eastAsia="仿宋_GB2312"/>
        </w:rPr>
        <w:t>详见附件：项目合理化建议.docx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详见附件：项目所需人员配备.docx</w:t>
      </w:r>
    </w:p>
    <w:p>
      <w:pPr>
        <w:pStyle w:val="null3"/>
        <w:ind w:firstLine="960"/>
      </w:pPr>
      <w:r>
        <w:rPr>
          <w:rFonts w:ascii="仿宋_GB2312" w:hAnsi="仿宋_GB2312" w:cs="仿宋_GB2312" w:eastAsia="仿宋_GB2312"/>
        </w:rPr>
        <w:t>详见附件：本地化服务.docx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