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版本号：ZZTT-CG-2026-0720260401001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ZZTT-CG-2026-07</w:t>
      </w:r>
      <w:r>
        <w:br/>
      </w:r>
      <w:r>
        <w:br/>
      </w:r>
      <w:r>
        <w:br/>
      </w:r>
    </w:p>
    <w:p>
      <w:pPr>
        <w:pStyle w:val="null3"/>
        <w:jc w:val="center"/>
        <w:outlineLvl w:val="2"/>
      </w:pPr>
      <w:r>
        <w:rPr>
          <w:rFonts w:ascii="仿宋_GB2312" w:hAnsi="仿宋_GB2312" w:cs="仿宋_GB2312" w:eastAsia="仿宋_GB2312"/>
          <w:sz w:val="28"/>
          <w:b/>
        </w:rPr>
        <w:t>蒲城县农业农村局</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蒲城县农业农村局</w:t>
      </w:r>
      <w:r>
        <w:rPr>
          <w:rFonts w:ascii="仿宋_GB2312" w:hAnsi="仿宋_GB2312" w:cs="仿宋_GB2312" w:eastAsia="仿宋_GB2312"/>
        </w:rPr>
        <w:t>委托，拟对</w:t>
      </w:r>
      <w:r>
        <w:rPr>
          <w:rFonts w:ascii="仿宋_GB2312" w:hAnsi="仿宋_GB2312" w:cs="仿宋_GB2312" w:eastAsia="仿宋_GB2312"/>
        </w:rPr>
        <w:t>2026年小麦促弱转壮项目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ZZTT-CG-2026-07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2026年小麦促弱转壮项目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确保小麦苗情得到改善提升，有效保障粮食安全。达到促弱转壮、减轻灾害影响。防治对象：防治小麦赤霉病、白粉病、条锈病、蚜虫、吸浆虫兼治红蜘蛛等病虫害。喷施调节剂增产。采购小麦病害防控药剂一批、小麦虫害防控药剂一批及调节剂增产药剂一批，并采用无人机开展防治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1、农药资质：标人为制造商须具备《农药登记证》、《农药生产许可证》、《产品执行标准》； 投标人为代理商须具备《农药经营许可证》、同时需要提供制造厂家的《农药登记证》、《农药生产许可证》、《产品执行标准》；</w:t>
      </w:r>
    </w:p>
    <w:p>
      <w:pPr>
        <w:pStyle w:val="null3"/>
      </w:pPr>
      <w:r>
        <w:rPr>
          <w:rFonts w:ascii="仿宋_GB2312" w:hAnsi="仿宋_GB2312" w:cs="仿宋_GB2312" w:eastAsia="仿宋_GB2312"/>
        </w:rPr>
        <w:t>2、飞防资质：投标人须具有《通用航空企业经营许可证》或《民用无人驾驶航空器运营合格证》；相关作业人员具有《植保无人机系统操作手合格证》或《农业无人飞机操作许可证》</w:t>
      </w:r>
    </w:p>
    <w:p>
      <w:pPr>
        <w:pStyle w:val="null3"/>
      </w:pPr>
      <w:r>
        <w:rPr>
          <w:rFonts w:ascii="仿宋_GB2312" w:hAnsi="仿宋_GB2312" w:cs="仿宋_GB2312" w:eastAsia="仿宋_GB2312"/>
        </w:rPr>
        <w:t>3、法定代表人身份证明/授权委托书：法定代表人直接参加投标的，须出具法定代表人身份证明书；法定代表人授权代表参加投标的，须出具法定代表人授权委托书。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4、信用要求：投标人及其法定代表人不得为“中国执行信息公开网”失信被执行人；投标人不得被“信用中国”列入重大税收违法案件当事人名单，投标人不得为“中国政府采购网” 政府采购严重违法失信行为记录名单中被财政部门禁止参加政府采购活动的投标人。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渭南市蒲城县城关街道延安路东段20号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13110309988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18182691002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采购包1：3,373,000.00元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 陕西中正天投项目管理有限公司</w:t>
            </w:r>
          </w:p>
          <w:p>
            <w:pPr>
              <w:pStyle w:val="null3"/>
            </w:pPr>
            <w:r>
              <w:rPr>
                <w:rFonts w:ascii="仿宋_GB2312" w:hAnsi="仿宋_GB2312" w:cs="仿宋_GB2312" w:eastAsia="仿宋_GB2312"/>
              </w:rPr>
              <w:t>开户银行：交通银行西安北辰大道支行</w:t>
            </w:r>
          </w:p>
          <w:p>
            <w:pPr>
              <w:pStyle w:val="null3"/>
            </w:pPr>
            <w:r>
              <w:rPr>
                <w:rFonts w:ascii="仿宋_GB2312" w:hAnsi="仿宋_GB2312" w:cs="仿宋_GB2312" w:eastAsia="仿宋_GB2312"/>
              </w:rPr>
              <w:t>银行账号：611301014013000111177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蒲城县农业农村局</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初验：货物到达交货地点后，由使用单位根据合同对货物的名称、品牌、规格、型号、 产地、数量进行检查。 终验：项目实施完成后，采购方组织相关人员在使用区域抽查，综合防治效果不得低于85%。 2、验收依据 （1）合同文本及合同补充文件（条款）； （2）产品的合法来源渠道证明文件、响应功能证明材料； （3）招标文件； （4）中标人的投标文件； （5）货物清单； （6）生产厂家的企业资质、货物的执行标准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联系人：苏童</w:t>
      </w:r>
    </w:p>
    <w:p>
      <w:pPr>
        <w:pStyle w:val="null3"/>
      </w:pPr>
      <w:r>
        <w:rPr>
          <w:rFonts w:ascii="仿宋_GB2312" w:hAnsi="仿宋_GB2312" w:cs="仿宋_GB2312" w:eastAsia="仿宋_GB2312"/>
        </w:rPr>
        <w:t>联系电话：18182691002</w:t>
      </w:r>
    </w:p>
    <w:p>
      <w:pPr>
        <w:pStyle w:val="null3"/>
      </w:pPr>
      <w:r>
        <w:rPr>
          <w:rFonts w:ascii="仿宋_GB2312" w:hAnsi="仿宋_GB2312" w:cs="仿宋_GB2312" w:eastAsia="仿宋_GB2312"/>
        </w:rPr>
        <w:t>地址：陕西省西安市高新区锦业路32号锦业时代B3座1701室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小麦苗情得到改善提升，有效保障粮食安全。达到促弱转壮、减轻灾害影响。防治对象：防治小麦赤霉病、白粉病、条锈病、蚜虫、吸浆虫兼治红蜘蛛等病虫害。喷施调节剂增产。采购小麦病害防控药剂一批、小麦虫害防控药剂一批及调节剂增产药剂一批，并采用无人机开展防治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3,373,000.00</w:t>
      </w:r>
    </w:p>
    <w:p>
      <w:pPr>
        <w:pStyle w:val="null3"/>
      </w:pPr>
      <w:r>
        <w:rPr>
          <w:rFonts w:ascii="仿宋_GB2312" w:hAnsi="仿宋_GB2312" w:cs="仿宋_GB2312" w:eastAsia="仿宋_GB2312"/>
        </w:rPr>
        <w:t>采购包最高限价（元）: 3,373,000.00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2026年小麦促弱转壮项目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3,373,000.00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标的名称：2026年小麦促弱转壮项目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防治小麦赤霉病、白粉病、条锈病、蚜虫、吸浆虫兼治红蜘蛛等病虫害。综合防治效果不低于</w:t>
            </w:r>
            <w:r>
              <w:rPr>
                <w:rFonts w:ascii="仿宋_GB2312" w:hAnsi="仿宋_GB2312" w:cs="仿宋_GB2312" w:eastAsia="仿宋_GB2312"/>
                <w:sz w:val="21"/>
              </w:rPr>
              <w:t>85%</w:t>
            </w:r>
            <w:r>
              <w:rPr>
                <w:rFonts w:ascii="仿宋_GB2312" w:hAnsi="仿宋_GB2312" w:cs="仿宋_GB2312" w:eastAsia="仿宋_GB2312"/>
                <w:sz w:val="21"/>
              </w:rPr>
              <w:t>，防治服务价格（包括药剂及飞防作业费）≤</w:t>
            </w:r>
            <w:r>
              <w:rPr>
                <w:rFonts w:ascii="仿宋_GB2312" w:hAnsi="仿宋_GB2312" w:cs="仿宋_GB2312" w:eastAsia="仿宋_GB2312"/>
                <w:sz w:val="21"/>
              </w:rPr>
              <w:t>16.6</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459"/>
              <w:gridCol w:w="1159"/>
              <w:gridCol w:w="749"/>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技术指标、参数</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小麦病害防控药剂</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丙硫菌唑亩有效成份</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克</w:t>
                  </w:r>
                </w:p>
                <w:p>
                  <w:pPr>
                    <w:pStyle w:val="null3"/>
                    <w:jc w:val="both"/>
                  </w:pPr>
                  <w:r>
                    <w:rPr>
                      <w:rFonts w:ascii="仿宋_GB2312" w:hAnsi="仿宋_GB2312" w:cs="仿宋_GB2312" w:eastAsia="仿宋_GB2312"/>
                      <w:sz w:val="24"/>
                    </w:rPr>
                    <w:t>戊唑醇亩有效成份</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克</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使用丙硫菌唑与戊唑醇的复配制剂，适用于飞防。</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小麦虫害防控药剂</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联苯菊酯亩有效成份</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.25</w:t>
                  </w:r>
                  <w:r>
                    <w:rPr>
                      <w:rFonts w:ascii="仿宋_GB2312" w:hAnsi="仿宋_GB2312" w:cs="仿宋_GB2312" w:eastAsia="仿宋_GB2312"/>
                      <w:sz w:val="24"/>
                    </w:rPr>
                    <w:t>克</w:t>
                  </w:r>
                </w:p>
                <w:p>
                  <w:pPr>
                    <w:pStyle w:val="null3"/>
                    <w:jc w:val="left"/>
                  </w:pPr>
                  <w:r>
                    <w:rPr>
                      <w:rFonts w:ascii="仿宋_GB2312" w:hAnsi="仿宋_GB2312" w:cs="仿宋_GB2312" w:eastAsia="仿宋_GB2312"/>
                      <w:sz w:val="24"/>
                    </w:rPr>
                    <w:t>噻虫嗪</w:t>
                  </w:r>
                  <w:r>
                    <w:rPr>
                      <w:rFonts w:ascii="仿宋_GB2312" w:hAnsi="仿宋_GB2312" w:cs="仿宋_GB2312" w:eastAsia="仿宋_GB2312"/>
                      <w:sz w:val="24"/>
                    </w:rPr>
                    <w:t>亩有效成份</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克</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使用联苯菊酯与</w:t>
                  </w:r>
                  <w:r>
                    <w:rPr>
                      <w:rFonts w:ascii="仿宋_GB2312" w:hAnsi="仿宋_GB2312" w:cs="仿宋_GB2312" w:eastAsia="仿宋_GB2312"/>
                      <w:sz w:val="24"/>
                    </w:rPr>
                    <w:t>噻虫嗪</w:t>
                  </w:r>
                  <w:r>
                    <w:rPr>
                      <w:rFonts w:ascii="仿宋_GB2312" w:hAnsi="仿宋_GB2312" w:cs="仿宋_GB2312" w:eastAsia="仿宋_GB2312"/>
                      <w:sz w:val="24"/>
                    </w:rPr>
                    <w:t>的复配制剂</w:t>
                  </w:r>
                  <w:r>
                    <w:rPr>
                      <w:rFonts w:ascii="仿宋_GB2312" w:hAnsi="仿宋_GB2312" w:cs="仿宋_GB2312" w:eastAsia="仿宋_GB2312"/>
                      <w:sz w:val="24"/>
                    </w:rPr>
                    <w:t>，</w:t>
                  </w:r>
                  <w:r>
                    <w:rPr>
                      <w:rFonts w:ascii="仿宋_GB2312" w:hAnsi="仿宋_GB2312" w:cs="仿宋_GB2312" w:eastAsia="仿宋_GB2312"/>
                      <w:sz w:val="24"/>
                    </w:rPr>
                    <w:t>适用于飞防</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调节剂增产</w:t>
                  </w:r>
                  <w:r>
                    <w:rPr>
                      <w:rFonts w:ascii="仿宋_GB2312" w:hAnsi="仿宋_GB2312" w:cs="仿宋_GB2312" w:eastAsia="仿宋_GB2312"/>
                      <w:sz w:val="24"/>
                    </w:rPr>
                    <w:t>药剂</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高芸苔素内酯</w:t>
                  </w:r>
                  <w:r>
                    <w:rPr>
                      <w:rFonts w:ascii="仿宋_GB2312" w:hAnsi="仿宋_GB2312" w:cs="仿宋_GB2312" w:eastAsia="仿宋_GB2312"/>
                      <w:sz w:val="24"/>
                    </w:rPr>
                    <w:t>亩有效成份</w:t>
                  </w:r>
                  <w:r>
                    <w:rPr>
                      <w:rFonts w:ascii="仿宋_GB2312" w:hAnsi="仿宋_GB2312" w:cs="仿宋_GB2312" w:eastAsia="仿宋_GB2312"/>
                      <w:sz w:val="24"/>
                    </w:rPr>
                    <w:t>≥</w:t>
                  </w:r>
                  <w:r>
                    <w:rPr>
                      <w:rFonts w:ascii="仿宋_GB2312" w:hAnsi="仿宋_GB2312" w:cs="仿宋_GB2312" w:eastAsia="仿宋_GB2312"/>
                      <w:sz w:val="24"/>
                    </w:rPr>
                    <w:t>0.15</w:t>
                  </w:r>
                  <w:r>
                    <w:rPr>
                      <w:rFonts w:ascii="仿宋_GB2312" w:hAnsi="仿宋_GB2312" w:cs="仿宋_GB2312" w:eastAsia="仿宋_GB2312"/>
                      <w:sz w:val="24"/>
                    </w:rPr>
                    <w:t>克。</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高芸苔素内酯</w:t>
                  </w:r>
                  <w:r>
                    <w:rPr>
                      <w:rFonts w:ascii="仿宋_GB2312" w:hAnsi="仿宋_GB2312" w:cs="仿宋_GB2312" w:eastAsia="仿宋_GB2312"/>
                      <w:sz w:val="24"/>
                    </w:rPr>
                    <w:t>，</w:t>
                  </w:r>
                  <w:r>
                    <w:rPr>
                      <w:rFonts w:ascii="仿宋_GB2312" w:hAnsi="仿宋_GB2312" w:cs="仿宋_GB2312" w:eastAsia="仿宋_GB2312"/>
                      <w:sz w:val="24"/>
                    </w:rPr>
                    <w:t>适用于飞防。</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无人机防治</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无人机飞防每亩不能少于</w:t>
                  </w:r>
                  <w:r>
                    <w:rPr>
                      <w:rFonts w:ascii="仿宋_GB2312" w:hAnsi="仿宋_GB2312" w:cs="仿宋_GB2312" w:eastAsia="仿宋_GB2312"/>
                      <w:sz w:val="24"/>
                    </w:rPr>
                    <w:t>3</w:t>
                  </w:r>
                  <w:r>
                    <w:rPr>
                      <w:rFonts w:ascii="仿宋_GB2312" w:hAnsi="仿宋_GB2312" w:cs="仿宋_GB2312" w:eastAsia="仿宋_GB2312"/>
                      <w:sz w:val="24"/>
                    </w:rPr>
                    <w:t>公斤</w:t>
                  </w:r>
                  <w:r>
                    <w:rPr>
                      <w:rFonts w:ascii="仿宋_GB2312" w:hAnsi="仿宋_GB2312" w:cs="仿宋_GB2312" w:eastAsia="仿宋_GB2312"/>
                      <w:sz w:val="24"/>
                    </w:rPr>
                    <w:t>喷液量</w:t>
                  </w:r>
                  <w:r>
                    <w:rPr>
                      <w:rFonts w:ascii="仿宋_GB2312" w:hAnsi="仿宋_GB2312" w:cs="仿宋_GB2312" w:eastAsia="仿宋_GB2312"/>
                      <w:sz w:val="24"/>
                    </w:rPr>
                    <w:t>，飞行速度</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米</w:t>
                  </w:r>
                  <w:r>
                    <w:rPr>
                      <w:rFonts w:ascii="仿宋_GB2312" w:hAnsi="仿宋_GB2312" w:cs="仿宋_GB2312" w:eastAsia="仿宋_GB2312"/>
                      <w:sz w:val="24"/>
                    </w:rPr>
                    <w:t>/</w:t>
                  </w:r>
                  <w:r>
                    <w:rPr>
                      <w:rFonts w:ascii="仿宋_GB2312" w:hAnsi="仿宋_GB2312" w:cs="仿宋_GB2312" w:eastAsia="仿宋_GB2312"/>
                      <w:sz w:val="24"/>
                    </w:rPr>
                    <w:t>秒</w:t>
                  </w:r>
                  <w:r>
                    <w:rPr>
                      <w:rFonts w:ascii="仿宋_GB2312" w:hAnsi="仿宋_GB2312" w:cs="仿宋_GB2312" w:eastAsia="仿宋_GB2312"/>
                      <w:sz w:val="24"/>
                    </w:rPr>
                    <w:t>，</w:t>
                  </w:r>
                  <w:r>
                    <w:rPr>
                      <w:rFonts w:ascii="仿宋_GB2312" w:hAnsi="仿宋_GB2312" w:cs="仿宋_GB2312" w:eastAsia="仿宋_GB2312"/>
                      <w:sz w:val="24"/>
                    </w:rPr>
                    <w:t>作业高度</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米（离冠层）</w:t>
                  </w:r>
                  <w:r>
                    <w:rPr>
                      <w:rFonts w:ascii="仿宋_GB2312" w:hAnsi="仿宋_GB2312" w:cs="仿宋_GB2312" w:eastAsia="仿宋_GB2312"/>
                      <w:sz w:val="24"/>
                    </w:rPr>
                    <w:t>。</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合同签订后一个月内实施完成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渭南市蒲城县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以中标单价为准，据实结算（具体付款时间以甲方通知为准），达到付款条件（即项目验收合格后）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初验：货物到达交货地点后，由使用单位根据合同对货物的名称、品牌、规格、型号、 产地、数量进行检查。 终验：项目实施完成后，采购方组织相关人员在使用区域抽查，综合防治效果不得低于85%。</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（2）未按合同要求提供产品或货物及服务质量不能满足技术要求，采购人有权终止合同，并对供方违约行为进行追究，同时按《政府采购法》的有关规定进行处罚。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报价要求（综合单价）：供应商报价时应综合考虑包含但不限于以下费用：药剂费、无人机飞防作业费、人工费、税金等。不得高于16.6元/亩。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（1）供应商须是中华人民共和国境内正式注册具有独立承担民事责任能力的法人或自然人，并提供有效的统一社会信用代码的营业执照； （2）税收缴纳证明和社会保障资金缴纳证明：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（3）提供参加本次政府采购活动前三年内在经营活动中没有重大违法记录的书面声明； （4）提供具有履行合同所必须的设备和专业技术能力的承诺书； （5）提供2024年度财务审计报告（成立时间至提交响应文件截止时间不足一年的可提供成立后任意时段的资产负债表）或其基本存款账户开户银行出具的开标前三个月内资信证明及基本存款账户的开户证明。 注：供应商需在项目电子化交易系统中按要求提供上述资料并进行电子签章。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供应商需在项目电子化交易系统中按要求上传相应企业财务制度并进行电子签章。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农药资质</w:t>
            </w:r>
          </w:p>
        </w:tc>
        <w:tc>
          <w:tcPr>
            <w:tcW w:type="dxa" w:w="3322"/>
          </w:tcPr>
          <w:p>
            <w:pPr>
              <w:pStyle w:val="null3"/>
            </w:pPr>
            <w:r>
              <w:rPr>
                <w:rFonts w:ascii="仿宋_GB2312" w:hAnsi="仿宋_GB2312" w:cs="仿宋_GB2312" w:eastAsia="仿宋_GB2312"/>
              </w:rPr>
              <w:t>标人为制造商须具备《农药登记证》、《农药生产许可证》、《产品执行标准》； 投标人为代理商须具备《农药经营许可证》、同时需要提供制造厂家的《农药登记证》、《农药生产许可证》、《产品执行标准》；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飞防资质</w:t>
            </w:r>
          </w:p>
        </w:tc>
        <w:tc>
          <w:tcPr>
            <w:tcW w:type="dxa" w:w="3322"/>
          </w:tcPr>
          <w:p>
            <w:pPr>
              <w:pStyle w:val="null3"/>
            </w:pPr>
            <w:r>
              <w:rPr>
                <w:rFonts w:ascii="仿宋_GB2312" w:hAnsi="仿宋_GB2312" w:cs="仿宋_GB2312" w:eastAsia="仿宋_GB2312"/>
              </w:rPr>
              <w:t>投标人须具有《通用航空企业经营许可证》或《民用无人驾驶航空器运营合格证》；相关作业人员具有《植保无人机系统操作手合格证》或《农业无人飞机操作许可证》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投标人及其法定代表人不得为“中国执行信息公开网”失信被执行人；投标人不得被“信用中国”列入重大税收违法案件当事人名单，投标人不得为“中国政府采购网” 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注：如启动异常低价投标（响应）审查程序，投标人须在发起程序的40分钟内提供书面声明，若未在规定时间内提供，视为不响应。</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商务响应.docx 拒绝贿赂承诺书.docx 投标函 中小企业声明函 残疾人福利性单位声明函 标的清单 保证金缴纳凭证.docx 投标文件封面 产品技术参数表.docx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招标文件商务要求响应情况，若负偏离，投标无效。</w:t>
            </w:r>
          </w:p>
        </w:tc>
        <w:tc>
          <w:tcPr>
            <w:tcW w:type="dxa" w:w="1661"/>
          </w:tcPr>
          <w:p>
            <w:pPr>
              <w:pStyle w:val="null3"/>
            </w:pPr>
            <w:r>
              <w:rPr>
                <w:rFonts w:ascii="仿宋_GB2312" w:hAnsi="仿宋_GB2312" w:cs="仿宋_GB2312" w:eastAsia="仿宋_GB2312"/>
              </w:rPr>
              <w:t>商务响应.docx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招标文件技术要求响应情况，若负偏离， 投标无效</w:t>
            </w:r>
          </w:p>
        </w:tc>
        <w:tc>
          <w:tcPr>
            <w:tcW w:type="dxa" w:w="1661"/>
          </w:tcPr>
          <w:p>
            <w:pPr>
              <w:pStyle w:val="null3"/>
            </w:pPr>
            <w:r>
              <w:rPr>
                <w:rFonts w:ascii="仿宋_GB2312" w:hAnsi="仿宋_GB2312" w:cs="仿宋_GB2312" w:eastAsia="仿宋_GB2312"/>
              </w:rPr>
              <w:t>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报价唯一，只能有一个有效报价，不得提交选择性报价，且单价不高于单价限价</w:t>
            </w:r>
          </w:p>
        </w:tc>
        <w:tc>
          <w:tcPr>
            <w:tcW w:type="dxa" w:w="1661"/>
          </w:tcPr>
          <w:p>
            <w:pPr>
              <w:pStyle w:val="null3"/>
            </w:pPr>
            <w:r>
              <w:rPr>
                <w:rFonts w:ascii="仿宋_GB2312" w:hAnsi="仿宋_GB2312" w:cs="仿宋_GB2312" w:eastAsia="仿宋_GB2312"/>
              </w:rPr>
              <w:t>分项报价-1.docx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按要求提供投标保证金缴纳凭证并进行电子签章</w:t>
            </w:r>
          </w:p>
        </w:tc>
        <w:tc>
          <w:tcPr>
            <w:tcW w:type="dxa" w:w="1661"/>
          </w:tcPr>
          <w:p>
            <w:pPr>
              <w:pStyle w:val="null3"/>
            </w:pPr>
            <w:r>
              <w:rPr>
                <w:rFonts w:ascii="仿宋_GB2312" w:hAnsi="仿宋_GB2312" w:cs="仿宋_GB2312" w:eastAsia="仿宋_GB2312"/>
              </w:rPr>
              <w:t>保证金缴纳凭证.docx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货物来源渠道</w:t>
            </w:r>
          </w:p>
        </w:tc>
        <w:tc>
          <w:tcPr>
            <w:tcW w:type="dxa" w:w="2492"/>
          </w:tcPr>
          <w:p>
            <w:pPr>
              <w:pStyle w:val="null3"/>
            </w:pPr>
            <w:r>
              <w:rPr>
                <w:rFonts w:ascii="仿宋_GB2312" w:hAnsi="仿宋_GB2312" w:cs="仿宋_GB2312" w:eastAsia="仿宋_GB2312"/>
              </w:rPr>
              <w:t>投标人提供所投产品的合法来源渠道证明文件，每提供一个产品的资料得 1 分，满分3分，不提供不得分。以下（1，2）资料提供任意一种： 1、如投标人为所投产品代理商：提供货物的合法来源渠道证明文件（例如：产品制造商授权、销售协议、产品彩页、代理协议等证明文件）。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一、评审内容（4分/项）投标人根据本项目特点，提供项目实施方案。 包含不限于：①作业进度安排；②设备及货物运输、设备安装及调试组织措施；③应急处理措施；④人员配置方案。 二、评审标准：①完整性：方案必须全面，对评审内容中的各项要求有详细描述； ②可实施性：切合本项目实际情况，提出步骤清晰、合理的方案；③针对性：方案能够紧扣项目实际情况，内容科学合理。 三、赋分标准（满分16分）：①每一项评审内容完全满足评审标准得4分。②每一项评审内容若存在不够明确、不够合理、不够完整、针对性不够强，扣1分；③每一项评审内容不提供或完全背离评审标准得0分。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4分/项）：①所投产品制造厂家有可靠、完善的管理制度；②飞防作业质量保证措施；③药剂用量标准；④服务质量保障体系；⑤所投产品符合国际、国内相关标准，有具体可行的质量保证承诺，保证使用单位能熟练、安全使用。 二、评审标准：①完整性：方案必须全面，对评审内容中的各项要求有详细描述； ②可实施性：切合本项目实际情况，提出步骤清晰、合理的方案；③针对性：方案能够紧扣项目实际情况，内容科学合理。 三、赋分标准（满分20分）：①每一项评审内容完全满足评审标准得4分。②每一项评审内容若存在不够明确、不够合理、不够完整、针对性不够强，扣1分；③每一项评审内容不提供或完全背离评审标准得0分。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一、评审内容（4分/项）：包含：①在作业过程中出现突发问题的应急处置方案；②应急响应时间；③出现突发状况应急人员安排。 二、评审标准：①完整性：方案必须全面，对评审内容中的各项要求有详细描述； ②可实施性：切合本项目实际情况，提出步骤清晰、合理的方案；③针对性：方案能够紧扣项目实际情况，内容科学合理。 三、赋分标准（满分12分）：①每一项评审内容完全满足评审标准得4分。②每一项评审内容若存在不够明确、不够合理、不够完整、针对性不够强，扣1分；③每一项评审内容不提供或完全背离评审标准得0分。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一、评审内容（3分/项）： 包含：①在作业过程中人员安全保障措施；②作业环境安全防范及药剂使用安全保障。 二、评审标准：①完整性：方案必须全面，对评审内容中的各项要求有详细描述； ②可实施性：切合本项目实际情况，提出步骤清晰、合理的方案；③针对性：方案能够紧扣项目实际情况，内容科学合理。 三、赋分标准（满分6分）：①每一项评审内容完全满足评审标准得3分。②每一项评审内容若存在不够明确、不够合理、不够完整、针对性不够强，扣1分；③每一项评审内容不提供或完全背离评审标准得0分。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一、评审内容（3分/项）: 投标人根据本项目特点，提供项目售后服务方案。 包含不限于：①售后服务方案完整可行，有明确的售后服务标准、售后服务承诺以及在质保期内产品发生质量问题所产生的换货修补服务具体响应时限、补救措施等；②售后服务机构组成，人员从业经历，服务人员培训计划情况；③售后服务响应（电话支持、到场服务）； 二、评审标准：①完整性：方案必须全面，对评审内容中的各项要求有详细描述； ②可实施性：切合本项目实际情况，提出步骤清晰、合理的方案；③针对性：方案能够紧扣项目实际情况，内容科学合理。 三、赋分标准（满分9分）：①每一项评审内容完全满足评审标准得3分。②每一项评审内容若存在不够明确、不够合理、不够完整、针对性不够强，扣1分；③每一项评审内容不提供或完全背离评审标准得0分。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近三年（2023年1月至今）的类似项目业绩（以合同签订时间为准），每提供一个有效业绩得2分，最高得4分。 注：每个有效业绩须包含以下内容：合同复印件（提供合同首页、服务主要内容页、金额页、盖章页等关键页复印件并加盖公章）。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 （财政部令第 87 号）的有关规定：价格分采用低价优先法计算，即满足招标文件要求且投标价格最低的投标报价为评标基准价，其价格分为满分。其他投标人的价格分统一按照下列公式计算： 投标报价得分=（评标基准价/投标报价） ×价格权值（即30%） × 100。 备注： 根据相关政策，小型、微型企业或监狱企业或残疾人福利性单位给予10%的价格扣除（需按招标文件规定提供相关声明或证明文件） 后参与综合评审。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详见附件：商务响应.docx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