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A30E4">
      <w:pPr>
        <w:spacing w:line="360" w:lineRule="auto"/>
        <w:ind w:left="1532" w:hanging="2407" w:hangingChars="545"/>
        <w:jc w:val="center"/>
        <w:rPr>
          <w:rFonts w:hint="default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bCs w:val="0"/>
          <w:sz w:val="44"/>
          <w:szCs w:val="44"/>
          <w:lang w:val="en-US" w:eastAsia="zh-CN"/>
        </w:rPr>
        <w:t>报 价 表</w:t>
      </w:r>
    </w:p>
    <w:p w14:paraId="6FF3389F">
      <w:pPr>
        <w:spacing w:line="360" w:lineRule="auto"/>
        <w:ind w:left="1532" w:hanging="1532" w:hangingChars="545"/>
        <w:rPr>
          <w:rFonts w:hint="eastAsia"/>
          <w:b/>
          <w:bCs w:val="0"/>
          <w:sz w:val="28"/>
          <w:szCs w:val="28"/>
          <w:lang w:val="en-US" w:eastAsia="zh-CN"/>
        </w:rPr>
      </w:pP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报价表</w:t>
      </w: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24466E42">
      <w:pPr>
        <w:rPr>
          <w:sz w:val="28"/>
          <w:szCs w:val="28"/>
          <w:vertAlign w:val="baseline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</w:t>
      </w:r>
    </w:p>
    <w:tbl>
      <w:tblPr>
        <w:tblStyle w:val="5"/>
        <w:tblpPr w:leftFromText="180" w:rightFromText="180" w:vertAnchor="text" w:horzAnchor="page" w:tblpX="1662" w:tblpY="807"/>
        <w:tblOverlap w:val="never"/>
        <w:tblW w:w="8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341"/>
        <w:gridCol w:w="1387"/>
        <w:gridCol w:w="2407"/>
        <w:gridCol w:w="1402"/>
        <w:gridCol w:w="1402"/>
      </w:tblGrid>
      <w:tr w14:paraId="39CE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50" w:type="dxa"/>
          </w:tcPr>
          <w:p w14:paraId="53FDDE77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41" w:type="dxa"/>
          </w:tcPr>
          <w:p w14:paraId="2A26C317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387" w:type="dxa"/>
          </w:tcPr>
          <w:p w14:paraId="06689BED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包号</w:t>
            </w:r>
          </w:p>
        </w:tc>
        <w:tc>
          <w:tcPr>
            <w:tcW w:w="2407" w:type="dxa"/>
          </w:tcPr>
          <w:p w14:paraId="7FBD6B90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报价 (元/亩)</w:t>
            </w:r>
          </w:p>
        </w:tc>
        <w:tc>
          <w:tcPr>
            <w:tcW w:w="1402" w:type="dxa"/>
          </w:tcPr>
          <w:p w14:paraId="12A28B9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服务期</w:t>
            </w:r>
          </w:p>
        </w:tc>
        <w:tc>
          <w:tcPr>
            <w:tcW w:w="1402" w:type="dxa"/>
          </w:tcPr>
          <w:p w14:paraId="5265C7D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506C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950" w:type="dxa"/>
          </w:tcPr>
          <w:p w14:paraId="799FDD68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 w14:paraId="3E1630F0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7" w:type="dxa"/>
          </w:tcPr>
          <w:p w14:paraId="3DFCD6D8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7" w:type="dxa"/>
          </w:tcPr>
          <w:p w14:paraId="018C8C59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02" w:type="dxa"/>
          </w:tcPr>
          <w:p w14:paraId="4079136A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02" w:type="dxa"/>
          </w:tcPr>
          <w:p w14:paraId="41A8170C">
            <w:pPr>
              <w:rPr>
                <w:sz w:val="24"/>
                <w:szCs w:val="24"/>
                <w:vertAlign w:val="baseline"/>
              </w:rPr>
            </w:pPr>
          </w:p>
        </w:tc>
      </w:tr>
    </w:tbl>
    <w:p w14:paraId="410E1D6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1F050D2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</w:t>
      </w:r>
    </w:p>
    <w:p w14:paraId="7259B580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1.报价不得超过9.00元/亩</w:t>
      </w:r>
    </w:p>
    <w:p w14:paraId="10893655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2.本项目为一次性报死包干价，该价格已包含完成本项目喷洒作业、人工、设备、燃油、运输、保险、管理、税费等全部费用。</w:t>
      </w:r>
    </w:p>
    <w:p w14:paraId="2A95B0F8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 3.所报价格须用人民币元表示。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B74BE"/>
    <w:rsid w:val="134E581F"/>
    <w:rsid w:val="1BC74954"/>
    <w:rsid w:val="304022D0"/>
    <w:rsid w:val="39F8585E"/>
    <w:rsid w:val="3C6C5ED2"/>
    <w:rsid w:val="427016C8"/>
    <w:rsid w:val="4EC84F84"/>
    <w:rsid w:val="7F29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163</Characters>
  <Lines>0</Lines>
  <Paragraphs>0</Paragraphs>
  <TotalTime>7</TotalTime>
  <ScaleCrop>false</ScaleCrop>
  <LinksUpToDate>false</LinksUpToDate>
  <CharactersWithSpaces>171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2026-03-12T05:19:00Z</dcterms:created>
  <dc:creator>AOC</dc:creator>
  <cp:lastModifiedBy>Administrator</cp:lastModifiedBy>
  <dcterms:modified xsi:type="dcterms:W3CDTF">2026-04-13T05:17:14Z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1309A7FBA2CD41E0A7CC0AA7BFBE04F8_12</vt:lpwstr>
  </property>
</Properties>
</file>