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版本号：ZCSP-蒲城县-2026-00052.1B120260422002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蒲城县林业草原有害生物防治项目(二次)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ZCSP-蒲城县-2026-00052.1B1</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蒲城县林业草原有害生物防治项目(二次)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ZCSP-蒲城县-2026-00052.1B1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蒲城县林业草原有害生物防治项目(二次)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1、防治区域 在高阳镇安家、洼里等区域采取无人机喷洒化学药剂等方式进行森林病虫害作业防治，作业防治面积2.5万亩。 2、 监测预警 完成项目区2.5万亩森林日常巡查监测。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采购包1（蒲城县林业草原有害生物防治项目）：属于专门面向中小企业采购。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以及有依法缴纳税收和社会保障资金的良好记录：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3、具有履行本合同所必需的设备和专业技术能力的说明或承诺：提供具有履行本合同所必需的设备和专业技术能力的说明或承诺（格式自拟，加盖投标人公章）。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6、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8、磋商保证金：磋商保证金缴纳凭证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19391472891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袁新洁、雷雅茜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17349239651、18165181189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达到国家及行业服务质量验收合格标准，达到采购人需求。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联系人：袁新洁、雷雅茜</w:t>
      </w:r>
    </w:p>
    <w:p>
      <w:pPr>
        <w:pStyle w:val="null3"/>
      </w:pPr>
      <w:r>
        <w:rPr>
          <w:rFonts w:ascii="仿宋_GB2312" w:hAnsi="仿宋_GB2312" w:cs="仿宋_GB2312" w:eastAsia="仿宋_GB2312"/>
        </w:rPr>
        <w:t>联系电话：17349239651、18165181189</w:t>
      </w:r>
    </w:p>
    <w:p>
      <w:pPr>
        <w:pStyle w:val="null3"/>
      </w:pPr>
      <w:r>
        <w:rPr>
          <w:rFonts w:ascii="仿宋_GB2312" w:hAnsi="仿宋_GB2312" w:cs="仿宋_GB2312" w:eastAsia="仿宋_GB2312"/>
        </w:rPr>
        <w:t>地址：渭南市海兴城南门商铺</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（1）防治区域 在高阳镇安家、洼里等区域采取无人机喷洒化学药剂等方式进行森林病虫害作业防治，作业防治面积2.5万亩。 （2）监测预警 完成项目区2.5万亩森林日常巡查监测。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蒲城县林业草原有害生物防治项目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标的名称：蒲城县林业草原有害生物防治项目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both"/>
            </w:pPr>
            <w:r>
              <w:rPr>
                <w:rFonts w:ascii="仿宋_GB2312" w:hAnsi="仿宋_GB2312" w:cs="仿宋_GB2312" w:eastAsia="仿宋_GB2312"/>
                <w:sz w:val="24"/>
              </w:rPr>
              <w:t>一、基本要求</w:t>
            </w:r>
          </w:p>
          <w:p>
            <w:pPr>
              <w:pStyle w:val="null3"/>
              <w:spacing w:before="105" w:after="105"/>
              <w:ind w:firstLine="480"/>
              <w:jc w:val="both"/>
            </w:pPr>
            <w:r>
              <w:rPr>
                <w:rFonts w:ascii="仿宋_GB2312" w:hAnsi="仿宋_GB2312" w:cs="仿宋_GB2312" w:eastAsia="仿宋_GB2312"/>
                <w:sz w:val="24"/>
              </w:rPr>
              <w:t>1、项目概况：</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1）防治区域</w:t>
            </w:r>
          </w:p>
          <w:p>
            <w:pPr>
              <w:pStyle w:val="null3"/>
              <w:spacing w:before="105" w:after="105"/>
              <w:ind w:firstLine="480"/>
              <w:jc w:val="both"/>
            </w:pPr>
            <w:r>
              <w:rPr>
                <w:rFonts w:ascii="仿宋_GB2312" w:hAnsi="仿宋_GB2312" w:cs="仿宋_GB2312" w:eastAsia="仿宋_GB2312"/>
                <w:sz w:val="24"/>
              </w:rPr>
              <w:t>在高阳镇安家、洼里等区域采取无人机喷洒化学药剂等方式进行森林病虫害作业防治，作业防治面积</w:t>
            </w:r>
            <w:r>
              <w:rPr>
                <w:rFonts w:ascii="仿宋_GB2312" w:hAnsi="仿宋_GB2312" w:cs="仿宋_GB2312" w:eastAsia="仿宋_GB2312"/>
                <w:sz w:val="24"/>
              </w:rPr>
              <w:t>2.5万亩。</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2）监测预警</w:t>
            </w:r>
          </w:p>
          <w:p>
            <w:pPr>
              <w:pStyle w:val="null3"/>
              <w:spacing w:before="105" w:after="105"/>
              <w:ind w:firstLine="480"/>
              <w:jc w:val="both"/>
            </w:pPr>
            <w:r>
              <w:rPr>
                <w:rFonts w:ascii="仿宋_GB2312" w:hAnsi="仿宋_GB2312" w:cs="仿宋_GB2312" w:eastAsia="仿宋_GB2312"/>
                <w:sz w:val="24"/>
              </w:rPr>
              <w:t>完成项目区</w:t>
            </w:r>
            <w:r>
              <w:rPr>
                <w:rFonts w:ascii="仿宋_GB2312" w:hAnsi="仿宋_GB2312" w:cs="仿宋_GB2312" w:eastAsia="仿宋_GB2312"/>
                <w:sz w:val="24"/>
              </w:rPr>
              <w:t>2.5万亩森林日常巡查监测。</w:t>
            </w:r>
          </w:p>
          <w:p>
            <w:pPr>
              <w:pStyle w:val="null3"/>
              <w:spacing w:before="105" w:after="105"/>
              <w:ind w:firstLine="480"/>
              <w:jc w:val="both"/>
            </w:pPr>
            <w:r>
              <w:rPr>
                <w:rFonts w:ascii="仿宋_GB2312" w:hAnsi="仿宋_GB2312" w:cs="仿宋_GB2312" w:eastAsia="仿宋_GB2312"/>
                <w:sz w:val="24"/>
              </w:rPr>
              <w:t>2、项目期限：合同签订之日起至有害生物防治项目结束。</w:t>
            </w:r>
          </w:p>
          <w:p>
            <w:pPr>
              <w:pStyle w:val="null3"/>
              <w:spacing w:before="105" w:after="105"/>
              <w:ind w:firstLine="480"/>
              <w:jc w:val="both"/>
            </w:pPr>
            <w:r>
              <w:rPr>
                <w:rFonts w:ascii="仿宋_GB2312" w:hAnsi="仿宋_GB2312" w:cs="仿宋_GB2312" w:eastAsia="仿宋_GB2312"/>
                <w:sz w:val="24"/>
              </w:rPr>
              <w:t xml:space="preserve">3、项目实施地点：蒲城县高阳镇安家、洼里等林区。 </w:t>
            </w:r>
          </w:p>
          <w:p>
            <w:pPr>
              <w:pStyle w:val="null3"/>
              <w:spacing w:before="105" w:after="105"/>
              <w:ind w:firstLine="480"/>
              <w:jc w:val="both"/>
            </w:pPr>
            <w:r>
              <w:rPr>
                <w:rFonts w:ascii="仿宋_GB2312" w:hAnsi="仿宋_GB2312" w:cs="仿宋_GB2312" w:eastAsia="仿宋_GB2312"/>
                <w:sz w:val="24"/>
              </w:rPr>
              <w:t>二、拟投入本项目的预算</w:t>
            </w:r>
          </w:p>
          <w:p>
            <w:pPr>
              <w:pStyle w:val="null3"/>
              <w:spacing w:before="105" w:after="105"/>
              <w:ind w:firstLine="480"/>
              <w:jc w:val="both"/>
            </w:pPr>
            <w:r>
              <w:rPr>
                <w:rFonts w:ascii="仿宋_GB2312" w:hAnsi="仿宋_GB2312" w:cs="仿宋_GB2312" w:eastAsia="仿宋_GB2312"/>
                <w:sz w:val="24"/>
                <w:color w:val="000000"/>
              </w:rPr>
              <w:t>本项目采购预算：</w:t>
            </w:r>
            <w:r>
              <w:rPr>
                <w:rFonts w:ascii="仿宋_GB2312" w:hAnsi="仿宋_GB2312" w:cs="仿宋_GB2312" w:eastAsia="仿宋_GB2312"/>
                <w:sz w:val="24"/>
              </w:rPr>
              <w:t>500000.00</w:t>
            </w:r>
            <w:r>
              <w:rPr>
                <w:rFonts w:ascii="仿宋_GB2312" w:hAnsi="仿宋_GB2312" w:cs="仿宋_GB2312" w:eastAsia="仿宋_GB2312"/>
                <w:sz w:val="24"/>
                <w:color w:val="000000"/>
              </w:rPr>
              <w:t>元。</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rPr>
              <w:t>三、项目质量标准、期限等要求</w:t>
            </w:r>
          </w:p>
          <w:p>
            <w:pPr>
              <w:pStyle w:val="null3"/>
              <w:spacing w:before="105" w:after="105"/>
              <w:ind w:firstLine="480"/>
              <w:jc w:val="both"/>
            </w:pPr>
            <w:r>
              <w:rPr>
                <w:rFonts w:ascii="仿宋_GB2312" w:hAnsi="仿宋_GB2312" w:cs="仿宋_GB2312" w:eastAsia="仿宋_GB2312"/>
                <w:sz w:val="24"/>
                <w:color w:val="000000"/>
              </w:rPr>
              <w:t>质量标准：达到国家及行业服务质量验收合格标准，达到采购人需求。</w:t>
            </w:r>
          </w:p>
          <w:p>
            <w:pPr>
              <w:pStyle w:val="null3"/>
              <w:spacing w:before="105" w:after="105"/>
              <w:ind w:firstLine="480"/>
              <w:jc w:val="both"/>
            </w:pPr>
            <w:r>
              <w:rPr>
                <w:rFonts w:ascii="仿宋_GB2312" w:hAnsi="仿宋_GB2312" w:cs="仿宋_GB2312" w:eastAsia="仿宋_GB2312"/>
                <w:sz w:val="24"/>
                <w:color w:val="000000"/>
              </w:rPr>
              <w:t>项目期限：</w:t>
            </w:r>
            <w:r>
              <w:rPr>
                <w:rFonts w:ascii="仿宋_GB2312" w:hAnsi="仿宋_GB2312" w:cs="仿宋_GB2312" w:eastAsia="仿宋_GB2312"/>
                <w:sz w:val="24"/>
              </w:rPr>
              <w:t>合同签订之日起至有害生物防治项目结束。</w:t>
            </w:r>
          </w:p>
          <w:p>
            <w:pPr>
              <w:pStyle w:val="null3"/>
              <w:spacing w:before="105" w:after="105"/>
              <w:ind w:firstLine="480"/>
              <w:jc w:val="both"/>
            </w:pPr>
            <w:r>
              <w:rPr>
                <w:rFonts w:ascii="仿宋_GB2312" w:hAnsi="仿宋_GB2312" w:cs="仿宋_GB2312" w:eastAsia="仿宋_GB2312"/>
                <w:sz w:val="24"/>
              </w:rPr>
              <w:t>四、付款方式</w:t>
            </w:r>
          </w:p>
          <w:p>
            <w:pPr>
              <w:pStyle w:val="null3"/>
              <w:spacing w:before="105" w:after="105"/>
              <w:ind w:firstLine="480"/>
              <w:jc w:val="both"/>
            </w:pPr>
            <w:r>
              <w:rPr>
                <w:rFonts w:ascii="仿宋_GB2312" w:hAnsi="仿宋_GB2312" w:cs="仿宋_GB2312" w:eastAsia="仿宋_GB2312"/>
                <w:sz w:val="24"/>
                <w:color w:val="000000"/>
              </w:rPr>
              <w:t>合同签订后，支付合同总价的</w:t>
            </w:r>
            <w:r>
              <w:rPr>
                <w:rFonts w:ascii="仿宋_GB2312" w:hAnsi="仿宋_GB2312" w:cs="仿宋_GB2312" w:eastAsia="仿宋_GB2312"/>
                <w:sz w:val="24"/>
                <w:color w:val="000000"/>
              </w:rPr>
              <w:t>40%作为预付款，工程量完成后支付合同总价的30%，验收合格后支付剩余工程款。</w:t>
            </w:r>
          </w:p>
          <w:p>
            <w:pPr>
              <w:pStyle w:val="null3"/>
              <w:spacing w:before="105" w:after="105"/>
              <w:ind w:firstLine="480"/>
              <w:jc w:val="both"/>
            </w:pPr>
            <w:r>
              <w:rPr>
                <w:rFonts w:ascii="仿宋_GB2312" w:hAnsi="仿宋_GB2312" w:cs="仿宋_GB2312" w:eastAsia="仿宋_GB2312"/>
                <w:sz w:val="24"/>
                <w:color w:val="000000"/>
              </w:rPr>
              <w:t>支付方式：银行转账。</w:t>
            </w:r>
          </w:p>
          <w:p>
            <w:pPr>
              <w:pStyle w:val="null3"/>
              <w:spacing w:before="105" w:after="105"/>
              <w:ind w:firstLine="480"/>
              <w:jc w:val="both"/>
            </w:pPr>
            <w:r>
              <w:rPr>
                <w:rFonts w:ascii="仿宋_GB2312" w:hAnsi="仿宋_GB2312" w:cs="仿宋_GB2312" w:eastAsia="仿宋_GB2312"/>
                <w:sz w:val="24"/>
                <w:color w:val="000000"/>
              </w:rPr>
              <w:t>结算方式：每次付款前乙方向甲方提供合法有效的增值税普通发票及甲方要求的其他材料。</w:t>
            </w:r>
          </w:p>
          <w:p>
            <w:pPr>
              <w:pStyle w:val="null3"/>
              <w:spacing w:before="105" w:after="105"/>
              <w:ind w:firstLine="480"/>
              <w:jc w:val="both"/>
            </w:pPr>
            <w:r>
              <w:rPr>
                <w:rFonts w:ascii="仿宋_GB2312" w:hAnsi="仿宋_GB2312" w:cs="仿宋_GB2312" w:eastAsia="仿宋_GB2312"/>
                <w:sz w:val="24"/>
              </w:rPr>
              <w:t>五、验收标准</w:t>
            </w:r>
          </w:p>
          <w:p>
            <w:pPr>
              <w:pStyle w:val="null3"/>
              <w:spacing w:before="105" w:after="105"/>
              <w:ind w:firstLine="480"/>
              <w:jc w:val="both"/>
            </w:pPr>
            <w:r>
              <w:rPr>
                <w:rFonts w:ascii="仿宋_GB2312" w:hAnsi="仿宋_GB2312" w:cs="仿宋_GB2312" w:eastAsia="仿宋_GB2312"/>
                <w:sz w:val="24"/>
              </w:rPr>
              <w:t>病虫害发生率：病虫害发生率应显著降低。</w:t>
            </w:r>
          </w:p>
          <w:p>
            <w:pPr>
              <w:pStyle w:val="null3"/>
              <w:spacing w:before="105" w:after="105"/>
              <w:ind w:firstLine="480"/>
              <w:jc w:val="both"/>
            </w:pPr>
            <w:r>
              <w:rPr>
                <w:rFonts w:ascii="仿宋_GB2312" w:hAnsi="仿宋_GB2312" w:cs="仿宋_GB2312" w:eastAsia="仿宋_GB2312"/>
                <w:sz w:val="24"/>
              </w:rPr>
              <w:t>防治效果指数：防治效果达到</w:t>
            </w:r>
            <w:r>
              <w:rPr>
                <w:rFonts w:ascii="仿宋_GB2312" w:hAnsi="仿宋_GB2312" w:cs="仿宋_GB2312" w:eastAsia="仿宋_GB2312"/>
                <w:sz w:val="24"/>
              </w:rPr>
              <w:t>87%以上。</w:t>
            </w:r>
          </w:p>
          <w:p>
            <w:pPr>
              <w:pStyle w:val="null3"/>
              <w:spacing w:before="105" w:after="105"/>
              <w:ind w:firstLine="480"/>
              <w:jc w:val="both"/>
            </w:pPr>
            <w:r>
              <w:rPr>
                <w:rFonts w:ascii="仿宋_GB2312" w:hAnsi="仿宋_GB2312" w:cs="仿宋_GB2312" w:eastAsia="仿宋_GB2312"/>
                <w:sz w:val="24"/>
              </w:rPr>
              <w:t>生态环境影响评估：评估防治效果时，还要考虑防治措施对生态环境的影响。包括土壤、生物多样性等方面的变化。通过全面评估，确保防治措施既有效又环保。</w:t>
            </w:r>
          </w:p>
          <w:p>
            <w:pPr>
              <w:pStyle w:val="null3"/>
              <w:spacing w:before="105" w:after="105"/>
              <w:ind w:firstLine="480"/>
              <w:jc w:val="both"/>
            </w:pPr>
            <w:r>
              <w:rPr>
                <w:rFonts w:ascii="仿宋_GB2312" w:hAnsi="仿宋_GB2312" w:cs="仿宋_GB2312" w:eastAsia="仿宋_GB2312"/>
                <w:sz w:val="24"/>
              </w:rPr>
              <w:t>六、采购清单</w:t>
            </w:r>
          </w:p>
          <w:tbl>
            <w:tblPr>
              <w:tblBorders>
                <w:top w:val="none" w:color="000000" w:sz="4"/>
                <w:left w:val="none" w:color="000000" w:sz="4"/>
                <w:bottom w:val="none" w:color="000000" w:sz="4"/>
                <w:right w:val="none" w:color="000000" w:sz="4"/>
                <w:insideH w:val="none"/>
                <w:insideV w:val="none"/>
              </w:tblBorders>
            </w:tblPr>
            <w:tblGrid>
              <w:gridCol w:w="473"/>
              <w:gridCol w:w="1124"/>
              <w:gridCol w:w="418"/>
              <w:gridCol w:w="527"/>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序号</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服务内容</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单位</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数量</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2"/>
                    <w:jc w:val="center"/>
                  </w:pPr>
                  <w:r>
                    <w:rPr>
                      <w:rFonts w:ascii="仿宋_GB2312" w:hAnsi="仿宋_GB2312" w:cs="仿宋_GB2312" w:eastAsia="仿宋_GB2312"/>
                      <w:sz w:val="24"/>
                      <w:b/>
                      <w:color w:val="000000"/>
                    </w:rPr>
                    <w:t>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2"/>
                    <w:jc w:val="center"/>
                  </w:pPr>
                  <w:r>
                    <w:rPr>
                      <w:rFonts w:ascii="仿宋_GB2312" w:hAnsi="仿宋_GB2312" w:cs="仿宋_GB2312" w:eastAsia="仿宋_GB2312"/>
                      <w:sz w:val="24"/>
                      <w:b/>
                      <w:color w:val="000000"/>
                    </w:rPr>
                    <w:t>飞机喷药防控</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亩</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25000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无人机飞行费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亩</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25000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1.2</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10%吡虫啉</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千克</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2500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1.3</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25%噻虫嗪、</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千克</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500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1.4</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4.5%高效氯氰菊酯</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千克</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1250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1.5</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2.5%溴氰菊酯油</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千克</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750</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2"/>
                    <w:jc w:val="center"/>
                  </w:pPr>
                  <w:r>
                    <w:rPr>
                      <w:rFonts w:ascii="仿宋_GB2312" w:hAnsi="仿宋_GB2312" w:cs="仿宋_GB2312" w:eastAsia="仿宋_GB2312"/>
                      <w:sz w:val="24"/>
                      <w:b/>
                      <w:color w:val="000000"/>
                    </w:rPr>
                    <w:t>2</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2"/>
                    <w:jc w:val="center"/>
                  </w:pPr>
                  <w:r>
                    <w:rPr>
                      <w:rFonts w:ascii="仿宋_GB2312" w:hAnsi="仿宋_GB2312" w:cs="仿宋_GB2312" w:eastAsia="仿宋_GB2312"/>
                      <w:sz w:val="24"/>
                      <w:b/>
                      <w:color w:val="000000"/>
                    </w:rPr>
                    <w:t>监测普查</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人工监测巡查</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亩</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80"/>
                    <w:jc w:val="center"/>
                  </w:pPr>
                  <w:r>
                    <w:rPr>
                      <w:rFonts w:ascii="仿宋_GB2312" w:hAnsi="仿宋_GB2312" w:cs="仿宋_GB2312" w:eastAsia="仿宋_GB2312"/>
                      <w:sz w:val="24"/>
                      <w:color w:val="000000"/>
                    </w:rPr>
                    <w:t>25000</w:t>
                  </w:r>
                </w:p>
              </w:tc>
            </w:tr>
          </w:tbl>
          <w:p>
            <w:pPr>
              <w:pStyle w:val="null3"/>
              <w:ind w:firstLine="480"/>
              <w:jc w:val="both"/>
            </w:pPr>
            <w:r>
              <w:rPr>
                <w:rFonts w:ascii="仿宋_GB2312" w:hAnsi="仿宋_GB2312" w:cs="仿宋_GB2312" w:eastAsia="仿宋_GB2312"/>
                <w:sz w:val="24"/>
              </w:rPr>
              <w:t>七</w:t>
            </w:r>
            <w:r>
              <w:rPr>
                <w:rFonts w:ascii="仿宋_GB2312" w:hAnsi="仿宋_GB2312" w:cs="仿宋_GB2312" w:eastAsia="仿宋_GB2312"/>
                <w:sz w:val="24"/>
              </w:rPr>
              <w:t>、</w:t>
            </w:r>
            <w:r>
              <w:rPr>
                <w:rFonts w:ascii="仿宋_GB2312" w:hAnsi="仿宋_GB2312" w:cs="仿宋_GB2312" w:eastAsia="仿宋_GB2312"/>
                <w:sz w:val="24"/>
              </w:rPr>
              <w:t>作业时间</w:t>
            </w:r>
            <w:r>
              <w:rPr>
                <w:rFonts w:ascii="仿宋_GB2312" w:hAnsi="仿宋_GB2312" w:cs="仿宋_GB2312" w:eastAsia="仿宋_GB2312"/>
                <w:sz w:val="24"/>
              </w:rPr>
              <w:t>：</w:t>
            </w:r>
            <w:r>
              <w:rPr>
                <w:rFonts w:ascii="仿宋_GB2312" w:hAnsi="仿宋_GB2312" w:cs="仿宋_GB2312" w:eastAsia="仿宋_GB2312"/>
                <w:sz w:val="24"/>
              </w:rPr>
              <w:t>符合国家、地方标准及采购人规定的要求。</w:t>
            </w:r>
          </w:p>
          <w:p>
            <w:pPr>
              <w:pStyle w:val="null3"/>
              <w:spacing w:before="105" w:after="105"/>
              <w:ind w:firstLine="480"/>
              <w:jc w:val="both"/>
            </w:pPr>
            <w:r>
              <w:rPr>
                <w:rFonts w:ascii="仿宋_GB2312" w:hAnsi="仿宋_GB2312" w:cs="仿宋_GB2312" w:eastAsia="仿宋_GB2312"/>
                <w:sz w:val="24"/>
              </w:rPr>
              <w:t>八、</w:t>
            </w:r>
            <w:r>
              <w:rPr>
                <w:rFonts w:ascii="仿宋_GB2312" w:hAnsi="仿宋_GB2312" w:cs="仿宋_GB2312" w:eastAsia="仿宋_GB2312"/>
                <w:sz w:val="24"/>
              </w:rPr>
              <w:t>使用药品及数量</w:t>
            </w:r>
          </w:p>
          <w:p>
            <w:pPr>
              <w:pStyle w:val="null3"/>
              <w:spacing w:before="105" w:after="105"/>
              <w:ind w:firstLine="480"/>
              <w:jc w:val="both"/>
            </w:pPr>
            <w:r>
              <w:rPr>
                <w:rFonts w:ascii="仿宋_GB2312" w:hAnsi="仿宋_GB2312" w:cs="仿宋_GB2312" w:eastAsia="仿宋_GB2312"/>
                <w:sz w:val="24"/>
                <w:color w:val="000000"/>
              </w:rPr>
              <w:t>(1) 10%吡虫啉：100克/亩；</w:t>
            </w:r>
          </w:p>
          <w:p>
            <w:pPr>
              <w:pStyle w:val="null3"/>
              <w:spacing w:before="105" w:after="105"/>
              <w:ind w:firstLine="480"/>
              <w:jc w:val="both"/>
            </w:pPr>
            <w:r>
              <w:rPr>
                <w:rFonts w:ascii="仿宋_GB2312" w:hAnsi="仿宋_GB2312" w:cs="仿宋_GB2312" w:eastAsia="仿宋_GB2312"/>
                <w:sz w:val="24"/>
                <w:color w:val="000000"/>
              </w:rPr>
              <w:t>(2) 25%噻虫嗪：20克/亩；</w:t>
            </w:r>
          </w:p>
          <w:p>
            <w:pPr>
              <w:pStyle w:val="null3"/>
              <w:spacing w:before="105" w:after="105"/>
              <w:ind w:firstLine="480"/>
              <w:jc w:val="both"/>
            </w:pPr>
            <w:r>
              <w:rPr>
                <w:rFonts w:ascii="仿宋_GB2312" w:hAnsi="仿宋_GB2312" w:cs="仿宋_GB2312" w:eastAsia="仿宋_GB2312"/>
                <w:sz w:val="24"/>
                <w:color w:val="000000"/>
              </w:rPr>
              <w:t>(3) 4.5%高效氯氰菊酯：50克/亩</w:t>
            </w:r>
          </w:p>
          <w:p>
            <w:pPr>
              <w:pStyle w:val="null3"/>
              <w:spacing w:before="105" w:after="105"/>
              <w:ind w:firstLine="480"/>
              <w:jc w:val="both"/>
            </w:pPr>
            <w:r>
              <w:rPr>
                <w:rFonts w:ascii="仿宋_GB2312" w:hAnsi="仿宋_GB2312" w:cs="仿宋_GB2312" w:eastAsia="仿宋_GB2312"/>
                <w:sz w:val="24"/>
                <w:color w:val="000000"/>
              </w:rPr>
              <w:t>(4）2.5%溴氰菊酯：30克/亩；</w:t>
            </w:r>
          </w:p>
          <w:p>
            <w:pPr>
              <w:pStyle w:val="null3"/>
              <w:spacing w:before="105" w:after="105"/>
              <w:ind w:firstLine="480"/>
              <w:jc w:val="both"/>
            </w:pPr>
            <w:r>
              <w:rPr>
                <w:rFonts w:ascii="仿宋_GB2312" w:hAnsi="仿宋_GB2312" w:cs="仿宋_GB2312" w:eastAsia="仿宋_GB2312"/>
                <w:sz w:val="24"/>
                <w:color w:val="000000"/>
              </w:rPr>
              <w:t>将</w:t>
            </w:r>
            <w:r>
              <w:rPr>
                <w:rFonts w:ascii="仿宋_GB2312" w:hAnsi="仿宋_GB2312" w:cs="仿宋_GB2312" w:eastAsia="仿宋_GB2312"/>
                <w:sz w:val="24"/>
                <w:color w:val="000000"/>
              </w:rPr>
              <w:t>10%吡虫啉、25%噻虫嗪、4.5%高效氯氰菊酯、2.5%溴氰菊酯按比例混成悬混迹，用飞机将其喷洒在树干、树冠</w:t>
            </w:r>
            <w:r>
              <w:rPr>
                <w:rFonts w:ascii="仿宋_GB2312" w:hAnsi="仿宋_GB2312" w:cs="仿宋_GB2312" w:eastAsia="仿宋_GB2312"/>
                <w:sz w:val="24"/>
              </w:rPr>
              <w:t>部。经测算防治作业面积</w:t>
            </w:r>
            <w:r>
              <w:rPr>
                <w:rFonts w:ascii="仿宋_GB2312" w:hAnsi="仿宋_GB2312" w:cs="仿宋_GB2312" w:eastAsia="仿宋_GB2312"/>
                <w:sz w:val="24"/>
              </w:rPr>
              <w:t>2.5万亩，共需要</w:t>
            </w:r>
            <w:r>
              <w:rPr>
                <w:rFonts w:ascii="仿宋_GB2312" w:hAnsi="仿宋_GB2312" w:cs="仿宋_GB2312" w:eastAsia="仿宋_GB2312"/>
                <w:sz w:val="24"/>
                <w:color w:val="000000"/>
              </w:rPr>
              <w:t>10%吡虫啉</w:t>
            </w:r>
            <w:r>
              <w:rPr>
                <w:rFonts w:ascii="仿宋_GB2312" w:hAnsi="仿宋_GB2312" w:cs="仿宋_GB2312" w:eastAsia="仿宋_GB2312"/>
                <w:sz w:val="24"/>
              </w:rPr>
              <w:t>2500千克，</w:t>
            </w:r>
            <w:r>
              <w:rPr>
                <w:rFonts w:ascii="仿宋_GB2312" w:hAnsi="仿宋_GB2312" w:cs="仿宋_GB2312" w:eastAsia="仿宋_GB2312"/>
                <w:sz w:val="24"/>
                <w:color w:val="000000"/>
              </w:rPr>
              <w:t>25%噻虫嗪5</w:t>
            </w:r>
            <w:r>
              <w:rPr>
                <w:rFonts w:ascii="仿宋_GB2312" w:hAnsi="仿宋_GB2312" w:cs="仿宋_GB2312" w:eastAsia="仿宋_GB2312"/>
                <w:sz w:val="24"/>
              </w:rPr>
              <w:t>00千克，</w:t>
            </w:r>
            <w:r>
              <w:rPr>
                <w:rFonts w:ascii="仿宋_GB2312" w:hAnsi="仿宋_GB2312" w:cs="仿宋_GB2312" w:eastAsia="仿宋_GB2312"/>
                <w:sz w:val="24"/>
                <w:color w:val="000000"/>
              </w:rPr>
              <w:t>4.5%高效氯氰菊酯</w:t>
            </w:r>
            <w:r>
              <w:rPr>
                <w:rFonts w:ascii="仿宋_GB2312" w:hAnsi="仿宋_GB2312" w:cs="仿宋_GB2312" w:eastAsia="仿宋_GB2312"/>
                <w:sz w:val="24"/>
              </w:rPr>
              <w:t>1250千克，</w:t>
            </w:r>
            <w:r>
              <w:rPr>
                <w:rFonts w:ascii="仿宋_GB2312" w:hAnsi="仿宋_GB2312" w:cs="仿宋_GB2312" w:eastAsia="仿宋_GB2312"/>
                <w:sz w:val="24"/>
                <w:color w:val="000000"/>
              </w:rPr>
              <w:t>2.5%溴氰菊酯750千克</w:t>
            </w:r>
            <w:r>
              <w:rPr>
                <w:rFonts w:ascii="仿宋_GB2312" w:hAnsi="仿宋_GB2312" w:cs="仿宋_GB2312" w:eastAsia="仿宋_GB2312"/>
                <w:sz w:val="24"/>
              </w:rPr>
              <w:t>。农药应选择三证齐全，符合国家标准的农药产品。</w:t>
            </w:r>
          </w:p>
          <w:p>
            <w:pPr>
              <w:pStyle w:val="null3"/>
              <w:spacing w:before="105" w:after="105"/>
              <w:ind w:firstLine="480"/>
              <w:jc w:val="both"/>
            </w:pPr>
            <w:r>
              <w:rPr>
                <w:rFonts w:ascii="仿宋_GB2312" w:hAnsi="仿宋_GB2312" w:cs="仿宋_GB2312" w:eastAsia="仿宋_GB2312"/>
                <w:sz w:val="24"/>
              </w:rPr>
              <w:t>九、</w:t>
            </w:r>
            <w:r>
              <w:rPr>
                <w:rFonts w:ascii="仿宋_GB2312" w:hAnsi="仿宋_GB2312" w:cs="仿宋_GB2312" w:eastAsia="仿宋_GB2312"/>
                <w:sz w:val="24"/>
              </w:rPr>
              <w:t xml:space="preserve"> </w:t>
            </w:r>
            <w:r>
              <w:rPr>
                <w:rFonts w:ascii="仿宋_GB2312" w:hAnsi="仿宋_GB2312" w:cs="仿宋_GB2312" w:eastAsia="仿宋_GB2312"/>
                <w:sz w:val="24"/>
              </w:rPr>
              <w:t>飞防作业前公告</w:t>
            </w:r>
          </w:p>
          <w:p>
            <w:pPr>
              <w:pStyle w:val="null3"/>
              <w:spacing w:before="105" w:after="105"/>
              <w:ind w:firstLine="480"/>
              <w:jc w:val="both"/>
            </w:pPr>
            <w:r>
              <w:rPr>
                <w:rFonts w:ascii="仿宋_GB2312" w:hAnsi="仿宋_GB2312" w:cs="仿宋_GB2312" w:eastAsia="仿宋_GB2312"/>
                <w:sz w:val="24"/>
              </w:rPr>
              <w:t>应于飞防作业前</w:t>
            </w:r>
            <w:r>
              <w:rPr>
                <w:rFonts w:ascii="仿宋_GB2312" w:hAnsi="仿宋_GB2312" w:cs="仿宋_GB2312" w:eastAsia="仿宋_GB2312"/>
                <w:sz w:val="24"/>
              </w:rPr>
              <w:t>15天，通过广播、电视和张贴通告等形式向飞防区所在乡镇和村、组发出飞防作业安全防护须知，飞防作业期间不得进入作业区放牧，游玩、挖野菜等。提前调查飞防作业区范围内是否有养蚕、养鱼、养蜂和饲养林下动物的企业或农户，提前做好应对处置工作，避免发生意外事件。</w:t>
            </w:r>
          </w:p>
          <w:p>
            <w:pPr>
              <w:pStyle w:val="null3"/>
              <w:spacing w:before="105" w:after="105"/>
              <w:ind w:firstLine="480"/>
              <w:jc w:val="both"/>
            </w:pPr>
            <w:r>
              <w:rPr>
                <w:rFonts w:ascii="仿宋_GB2312" w:hAnsi="仿宋_GB2312" w:cs="仿宋_GB2312" w:eastAsia="仿宋_GB2312"/>
                <w:sz w:val="24"/>
              </w:rPr>
              <w:t>十、</w:t>
            </w:r>
            <w:r>
              <w:rPr>
                <w:rFonts w:ascii="仿宋_GB2312" w:hAnsi="仿宋_GB2312" w:cs="仿宋_GB2312" w:eastAsia="仿宋_GB2312"/>
                <w:sz w:val="24"/>
              </w:rPr>
              <w:t xml:space="preserve"> </w:t>
            </w:r>
            <w:r>
              <w:rPr>
                <w:rFonts w:ascii="仿宋_GB2312" w:hAnsi="仿宋_GB2312" w:cs="仿宋_GB2312" w:eastAsia="仿宋_GB2312"/>
                <w:sz w:val="24"/>
              </w:rPr>
              <w:t>飞行作业航高</w:t>
            </w:r>
          </w:p>
          <w:p>
            <w:pPr>
              <w:pStyle w:val="null3"/>
              <w:spacing w:before="105" w:after="105"/>
              <w:ind w:firstLine="480"/>
              <w:jc w:val="both"/>
            </w:pPr>
            <w:r>
              <w:rPr>
                <w:rFonts w:ascii="仿宋_GB2312" w:hAnsi="仿宋_GB2312" w:cs="仿宋_GB2312" w:eastAsia="仿宋_GB2312"/>
                <w:sz w:val="24"/>
              </w:rPr>
              <w:t>无人机飞行高度一般要求保持在离树梢</w:t>
            </w:r>
            <w:r>
              <w:rPr>
                <w:rFonts w:ascii="仿宋_GB2312" w:hAnsi="仿宋_GB2312" w:cs="仿宋_GB2312" w:eastAsia="仿宋_GB2312"/>
                <w:sz w:val="24"/>
              </w:rPr>
              <w:t>5-10米；复杂地形飞行作业高度可适当提高，离树梢不得超过20米，但必须保证作业质量。飞手应该注意有通信塔和高压线的作业区飞行高度。</w:t>
            </w:r>
            <w:r>
              <w:rPr>
                <w:rFonts w:ascii="仿宋_GB2312" w:hAnsi="仿宋_GB2312" w:cs="仿宋_GB2312" w:eastAsia="仿宋_GB2312"/>
                <w:sz w:val="24"/>
              </w:rPr>
              <w:t>飞行作业速度及喷幅要求作业速度</w:t>
            </w:r>
            <w:r>
              <w:rPr>
                <w:rFonts w:ascii="仿宋_GB2312" w:hAnsi="仿宋_GB2312" w:cs="仿宋_GB2312" w:eastAsia="仿宋_GB2312"/>
                <w:sz w:val="24"/>
              </w:rPr>
              <w:t>3米/秒，喷幅要求为5-10米（视飞行速度、高度、环境进行调整）。</w:t>
            </w:r>
          </w:p>
          <w:p>
            <w:pPr>
              <w:pStyle w:val="null3"/>
              <w:ind w:firstLine="480"/>
              <w:jc w:val="both"/>
            </w:pPr>
            <w:r>
              <w:rPr>
                <w:rFonts w:ascii="仿宋_GB2312" w:hAnsi="仿宋_GB2312" w:cs="仿宋_GB2312" w:eastAsia="仿宋_GB2312"/>
                <w:sz w:val="24"/>
              </w:rPr>
              <w:t>十二、其他要求</w:t>
            </w:r>
          </w:p>
          <w:p>
            <w:pPr>
              <w:pStyle w:val="null3"/>
              <w:ind w:firstLine="480"/>
              <w:jc w:val="both"/>
            </w:pPr>
            <w:r>
              <w:rPr>
                <w:rFonts w:ascii="仿宋_GB2312" w:hAnsi="仿宋_GB2312" w:cs="仿宋_GB2312" w:eastAsia="仿宋_GB2312"/>
                <w:sz w:val="24"/>
              </w:rPr>
              <w:t>根据飞防作业区地形地势、林木分布、林分条件和防治作业效果等选择适宜的机型，结合我县及周边县区飞访经验，选用植保无人机喷洒药物防治作业。承担飞防任务的公司应该</w:t>
            </w:r>
            <w:r>
              <w:rPr>
                <w:rFonts w:ascii="仿宋_GB2312" w:hAnsi="仿宋_GB2312" w:cs="仿宋_GB2312" w:eastAsia="仿宋_GB2312"/>
                <w:sz w:val="24"/>
              </w:rPr>
              <w:t>符合</w:t>
            </w:r>
            <w:r>
              <w:rPr>
                <w:rFonts w:ascii="仿宋_GB2312" w:hAnsi="仿宋_GB2312" w:cs="仿宋_GB2312" w:eastAsia="仿宋_GB2312"/>
                <w:sz w:val="24"/>
              </w:rPr>
              <w:t>《中华人民共和国民用航空法》及</w:t>
            </w:r>
            <w:r>
              <w:rPr>
                <w:rFonts w:ascii="仿宋_GB2312" w:hAnsi="仿宋_GB2312" w:cs="仿宋_GB2312" w:eastAsia="仿宋_GB2312"/>
                <w:sz w:val="24"/>
              </w:rPr>
              <w:t>CCAR91</w:t>
            </w:r>
            <w:r>
              <w:rPr>
                <w:rFonts w:ascii="仿宋_GB2312" w:hAnsi="仿宋_GB2312" w:cs="仿宋_GB2312" w:eastAsia="仿宋_GB2312"/>
                <w:sz w:val="24"/>
              </w:rPr>
              <w:t>规定</w:t>
            </w:r>
            <w:r>
              <w:rPr>
                <w:rFonts w:ascii="仿宋_GB2312" w:hAnsi="仿宋_GB2312" w:cs="仿宋_GB2312" w:eastAsia="仿宋_GB2312"/>
                <w:sz w:val="24"/>
              </w:rPr>
              <w:t>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符合采购人规定要求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一、使用药品及数量 (1) 10%吡虫啉：100克/亩； (2) 25%噻虫嗪：20克/亩； (3) 4.5%高效氯氰菊酯：50克/亩 (4）2.5%溴氰菊酯：30克/亩； 将10%吡虫啉、25%噻虫嗪、4.5%高效氯氰菊酯、2.5%溴氰菊酯按比例混成悬混迹，用飞机将其喷洒在树干、树冠部。经测算防治作业面积2.5万亩，共需要10%吡虫啉2500千克，25%噻虫嗪500千克，4.5%高效氯氰菊酯1250千克，2.5%溴氰菊酯750千克。农药应选择三证齐全，符合国家标准的农药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合同签订之日起至有害生物防治项目结束。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蒲城县高阳镇安家、洼里等林区。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病虫害发生率：病虫害发生率应显著降低。 防治效果指数：防治效果达到87%以上。 生态环境影响评估：评估防治效果时，还要考虑防治措施对生态环境的影响。包括土壤、生物多样性等方面的变化。通过全面评估，确保防治措施既有效又环保。</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相关备案完成后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3、若采用保函形式缴纳保证金的供应商，需在文件递交截止之日前，将保函原件交至代理公司。 4、需落实的政府采购政策： （1）《国务院办公厅关于在政府采购中实施本国产品标准及相关政策的通知》（国办发〔2025〕34号）政策； 若享受以上政策优惠的企业，提供相应声明函或财政部会同有关部门规定的有关证明文件。如有最新颁布的政府采购政策，按最新的文件执行。 （2）对本国产品的支持政策 ①政府采购活动中既有本国产品又有非本国产品参与竞争的，依法对本国产品给予价格评审优惠，对本国产品的报价给予20%的价格扣除，用扣除后的价格参与评审。 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符合本国产品标准的声明函.docx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提供具有履行本合同所必需的设备和专业技术能力的说明或承诺（格式自拟，加盖投标人公章）。</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供应商应提供的资格证明文件材料.docx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供应商应提供的资格证明文件材料.docx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服务分项报价表.docx 服务内容及服务邀请应答表 供应商应提供的资格证明文件材料.docx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服务分项报价表.docx 服务内容及服务邀请应答表 供应商应提供的资格证明文件材料.docx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未超过采购预算</w:t>
            </w:r>
          </w:p>
        </w:tc>
        <w:tc>
          <w:tcPr>
            <w:tcW w:type="dxa" w:w="1661"/>
          </w:tcPr>
          <w:p>
            <w:pPr>
              <w:pStyle w:val="null3"/>
            </w:pPr>
            <w:r>
              <w:rPr>
                <w:rFonts w:ascii="仿宋_GB2312" w:hAnsi="仿宋_GB2312" w:cs="仿宋_GB2312" w:eastAsia="仿宋_GB2312"/>
              </w:rPr>
              <w:t>响应文件封面 服务分项报价表.docx 服务内容及服务邀请应答表 供应商应提供的资格证明文件材料.docx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响应文件封面 服务分项报价表.docx 服务内容及服务邀请应答表 供应商应提供的资格证明文件材料.docx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一、评审内容:供应商根据本项目提供服务方案。方案内容包括但不限于：①服务内容；②服务标准；③服务方案描述；④服务档案管理；⑤服务应急响应等。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一、评审内容:供应商根据本项目提供监测方案。方案内容包括但不限于：①监测点设置；②监测频率与方法；③监测数据管理：④诱捕监测方案等。⑤监测预警与应急联动机制。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预防方案</w:t>
            </w:r>
          </w:p>
        </w:tc>
        <w:tc>
          <w:tcPr>
            <w:tcW w:type="dxa" w:w="2492"/>
          </w:tcPr>
          <w:p>
            <w:pPr>
              <w:pStyle w:val="null3"/>
            </w:pPr>
            <w:r>
              <w:rPr>
                <w:rFonts w:ascii="仿宋_GB2312" w:hAnsi="仿宋_GB2312" w:cs="仿宋_GB2312" w:eastAsia="仿宋_GB2312"/>
              </w:rPr>
              <w:t>一、评审内容:供应商根据本项目提供预防方案。方案内容包括但不限于：①预防措施；②预防资源保障；③预防时序规划；④风险预判及应对；⑤预防效果评估等。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防治方案</w:t>
            </w:r>
          </w:p>
        </w:tc>
        <w:tc>
          <w:tcPr>
            <w:tcW w:type="dxa" w:w="2492"/>
          </w:tcPr>
          <w:p>
            <w:pPr>
              <w:pStyle w:val="null3"/>
            </w:pPr>
            <w:r>
              <w:rPr>
                <w:rFonts w:ascii="仿宋_GB2312" w:hAnsi="仿宋_GB2312" w:cs="仿宋_GB2312" w:eastAsia="仿宋_GB2312"/>
              </w:rPr>
              <w:t>一、评审内容:供应商根据本项目提供防治方案。方案内容包括但不限于：①防治目标与指标；②防治原则与策略；③防治方案；二、评审标准：1、完善性：方案必须全面，对评审内容中的各项要求有详细阐述；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上述5项评审内容全部满足评审标准得15分，每有一个评审内容缺项扣5分，每有一项评审内容存在一项缺陷，扣0.5分，扣完为止，不出现负分。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一、评审内容:供应商根据本项目提供保障措施。方案内容包括但不限于：①进度计划安排措施；②验收保证措施；③安全保证措施等；④售后承诺；⑤服务质量保障措施等。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根据本项目提供人员配备方案。方案内容包括但不限于：①专业服务团队规模与适配性；②人员组织结构与岗位职责；③核心人员资质与经验；④团队稳定性保障措施；⑤人员培训与考核机制等。 二、评审标准：1、完善性：方案必须全面，对评审内容中的各项要求有详细阐述；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提供供应商近三年类似项目合同，每提供1个得2.5分，最高得5分。 赋分依据：加盖公章的合同复印件或中标通知书复印件及发票（时间以合同复印件或中标通知书签订为准。）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供应商的投标总价超过招标预算金额的视为废标，不再参与下一步评审。(2)评标基准价:所有有效投标报价的最低报价作为评标基准价。(3)磋商报价得分=(磋商基准价/最终磋商报价)×10%×100的公式计算得分。符合《国务院办公厅关于在政府采购中实施本国产品标准及相关政策的通知》规定要求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详见附件：供应商应提供的资格证明文件材料.docx</w:t>
      </w:r>
    </w:p>
    <w:p>
      <w:pPr>
        <w:pStyle w:val="null3"/>
        <w:ind w:firstLine="960"/>
      </w:pPr>
      <w:r>
        <w:rPr>
          <w:rFonts w:ascii="仿宋_GB2312" w:hAnsi="仿宋_GB2312" w:cs="仿宋_GB2312" w:eastAsia="仿宋_GB2312"/>
        </w:rPr>
        <w:t>详见附件：服务分项报价表.docx</w:t>
      </w:r>
    </w:p>
    <w:p>
      <w:pPr>
        <w:pStyle w:val="null3"/>
        <w:ind w:firstLine="960"/>
      </w:pPr>
      <w:r>
        <w:rPr>
          <w:rFonts w:ascii="仿宋_GB2312" w:hAnsi="仿宋_GB2312" w:cs="仿宋_GB2312" w:eastAsia="仿宋_GB2312"/>
        </w:rPr>
        <w:t>详见附件：符合本国产品标准的声明函.docx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