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jc w:val="center"/>
        <w:rPr>
          <w:rFonts w:hint="eastAsia" w:ascii="宋体" w:hAnsi="宋体" w:eastAsia="宋体" w:cs="宋体"/>
          <w:b/>
          <w:bCs/>
          <w:color w:val="auto"/>
          <w:kern w:val="44"/>
          <w:sz w:val="32"/>
          <w:szCs w:val="32"/>
          <w:highlight w:val="none"/>
          <w:lang w:val="en-US" w:eastAsia="zh-CN"/>
        </w:rPr>
      </w:pPr>
      <w:r>
        <w:rPr>
          <w:rFonts w:hint="eastAsia" w:ascii="宋体" w:hAnsi="宋体" w:eastAsia="宋体" w:cs="宋体"/>
          <w:b/>
          <w:bCs/>
          <w:color w:val="auto"/>
          <w:kern w:val="44"/>
          <w:sz w:val="32"/>
          <w:szCs w:val="32"/>
          <w:highlight w:val="none"/>
          <w:lang w:val="en-US" w:eastAsia="zh-CN"/>
        </w:rPr>
        <w:t>采购合同</w:t>
      </w:r>
    </w:p>
    <w:p>
      <w:pPr>
        <w:jc w:val="center"/>
        <w:rPr>
          <w:rFonts w:hint="default"/>
          <w:lang w:val="en-US" w:eastAsia="zh-CN"/>
        </w:rPr>
      </w:pPr>
      <w:r>
        <w:rPr>
          <w:rFonts w:hint="eastAsia" w:ascii="宋体" w:hAnsi="宋体" w:cs="宋体"/>
          <w:b/>
          <w:bCs/>
          <w:color w:val="auto"/>
          <w:kern w:val="44"/>
          <w:sz w:val="21"/>
          <w:szCs w:val="21"/>
          <w:highlight w:val="none"/>
          <w:lang w:val="en-US" w:eastAsia="zh-CN"/>
        </w:rPr>
        <w:t>（具体以实际签订为准）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4"/>
        <w:gridCol w:w="6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4" w:type="dxa"/>
            <w:tcBorders>
              <w:top w:val="nil"/>
              <w:left w:val="nil"/>
              <w:bottom w:val="nil"/>
              <w:right w:val="nil"/>
            </w:tcBorders>
            <w:noWrap w:val="0"/>
            <w:vAlign w:val="top"/>
          </w:tcPr>
          <w:p>
            <w:pPr>
              <w:spacing w:line="480" w:lineRule="auto"/>
              <w:jc w:val="both"/>
              <w:rPr>
                <w:rFonts w:hint="eastAsia"/>
                <w:sz w:val="21"/>
                <w:szCs w:val="21"/>
                <w:vertAlign w:val="baseline"/>
                <w:lang w:val="en-US" w:eastAsia="zh-CN"/>
              </w:rPr>
            </w:pPr>
            <w:r>
              <w:rPr>
                <w:rFonts w:hint="eastAsia" w:ascii="宋体" w:hAnsi="宋体" w:eastAsia="宋体" w:cs="宋体"/>
                <w:b/>
                <w:color w:val="auto"/>
                <w:sz w:val="24"/>
                <w:szCs w:val="24"/>
                <w:highlight w:val="none"/>
              </w:rPr>
              <w:t>甲方</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采购人）</w:t>
            </w:r>
            <w:r>
              <w:rPr>
                <w:rFonts w:hint="eastAsia" w:ascii="宋体" w:hAnsi="宋体" w:eastAsia="宋体" w:cs="宋体"/>
                <w:b/>
                <w:color w:val="auto"/>
                <w:sz w:val="24"/>
                <w:szCs w:val="24"/>
                <w:highlight w:val="none"/>
              </w:rPr>
              <w:t>：</w:t>
            </w:r>
          </w:p>
        </w:tc>
        <w:tc>
          <w:tcPr>
            <w:tcW w:w="6458" w:type="dxa"/>
            <w:tcBorders>
              <w:top w:val="nil"/>
              <w:left w:val="nil"/>
              <w:bottom w:val="nil"/>
              <w:right w:val="nil"/>
            </w:tcBorders>
            <w:noWrap w:val="0"/>
            <w:vAlign w:val="top"/>
          </w:tcPr>
          <w:p>
            <w:pPr>
              <w:spacing w:line="480" w:lineRule="auto"/>
              <w:jc w:val="both"/>
              <w:rPr>
                <w:rFonts w:hint="default"/>
                <w:sz w:val="21"/>
                <w:szCs w:val="21"/>
                <w:u w:val="single"/>
                <w:vertAlign w:val="baseline"/>
                <w:lang w:val="en-US" w:eastAsia="zh-CN"/>
              </w:rPr>
            </w:pPr>
            <w:r>
              <w:rPr>
                <w:rFonts w:hint="eastAsia"/>
                <w:sz w:val="21"/>
                <w:szCs w:val="21"/>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2064" w:type="dxa"/>
            <w:tcBorders>
              <w:top w:val="nil"/>
              <w:left w:val="nil"/>
              <w:bottom w:val="nil"/>
              <w:right w:val="nil"/>
            </w:tcBorders>
            <w:noWrap w:val="0"/>
            <w:vAlign w:val="top"/>
          </w:tcPr>
          <w:p>
            <w:pPr>
              <w:spacing w:line="480" w:lineRule="auto"/>
              <w:jc w:val="both"/>
              <w:rPr>
                <w:rFonts w:hint="eastAsia"/>
                <w:sz w:val="21"/>
                <w:szCs w:val="21"/>
                <w:vertAlign w:val="baseline"/>
                <w:lang w:val="en-US" w:eastAsia="zh-CN"/>
              </w:rPr>
            </w:pPr>
            <w:r>
              <w:rPr>
                <w:rFonts w:hint="eastAsia" w:ascii="宋体" w:hAnsi="宋体" w:eastAsia="宋体" w:cs="宋体"/>
                <w:b/>
                <w:color w:val="auto"/>
                <w:sz w:val="24"/>
                <w:szCs w:val="24"/>
                <w:highlight w:val="none"/>
              </w:rPr>
              <w:t>乙方</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供应商）</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u w:val="single"/>
              </w:rPr>
              <w:t xml:space="preserve"> </w:t>
            </w:r>
          </w:p>
        </w:tc>
        <w:tc>
          <w:tcPr>
            <w:tcW w:w="6458" w:type="dxa"/>
            <w:tcBorders>
              <w:top w:val="nil"/>
              <w:left w:val="nil"/>
              <w:bottom w:val="nil"/>
              <w:right w:val="nil"/>
            </w:tcBorders>
            <w:noWrap w:val="0"/>
            <w:vAlign w:val="top"/>
          </w:tcPr>
          <w:p>
            <w:pPr>
              <w:spacing w:line="480" w:lineRule="auto"/>
              <w:jc w:val="both"/>
              <w:rPr>
                <w:rFonts w:hint="eastAsia"/>
                <w:sz w:val="21"/>
                <w:szCs w:val="21"/>
                <w:vertAlign w:val="baseline"/>
                <w:lang w:val="en-US" w:eastAsia="zh-CN"/>
              </w:rPr>
            </w:pPr>
            <w:r>
              <w:rPr>
                <w:rFonts w:hint="eastAsia"/>
                <w:sz w:val="21"/>
                <w:szCs w:val="21"/>
                <w:u w:val="single"/>
                <w:vertAlign w:val="baseline"/>
                <w:lang w:val="en-US" w:eastAsia="zh-CN"/>
              </w:rPr>
              <w:t xml:space="preserve">                                           </w:t>
            </w:r>
          </w:p>
        </w:tc>
      </w:tr>
    </w:tbl>
    <w:p>
      <w:pPr>
        <w:spacing w:line="360" w:lineRule="auto"/>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依据《中华人民共和国政府采购法》《中华人民共和国合同法》等法律、法规规定,按照采购文件规定条款和中标单位承诺,甲乙双方签订本合同。</w:t>
      </w:r>
    </w:p>
    <w:p>
      <w:pPr>
        <w:numPr>
          <w:ilvl w:val="0"/>
          <w:numId w:val="0"/>
        </w:numPr>
        <w:spacing w:line="360" w:lineRule="auto"/>
        <w:ind w:left="0" w:leftChars="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一、项目概况</w:t>
      </w:r>
    </w:p>
    <w:p>
      <w:pPr>
        <w:spacing w:line="360" w:lineRule="auto"/>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pPr>
        <w:spacing w:line="360" w:lineRule="auto"/>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项目地点：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pPr>
        <w:numPr>
          <w:ilvl w:val="0"/>
          <w:numId w:val="0"/>
        </w:numPr>
        <w:spacing w:line="360" w:lineRule="auto"/>
        <w:ind w:left="0" w:leftChars="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二、实施内容：</w:t>
      </w:r>
    </w:p>
    <w:p>
      <w:pPr>
        <w:numPr>
          <w:ilvl w:val="0"/>
          <w:numId w:val="0"/>
        </w:numPr>
        <w:spacing w:line="360" w:lineRule="auto"/>
        <w:ind w:left="0" w:leftChars="0"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（1）防治区域</w:t>
      </w:r>
    </w:p>
    <w:p>
      <w:pPr>
        <w:numPr>
          <w:ilvl w:val="0"/>
          <w:numId w:val="0"/>
        </w:numPr>
        <w:spacing w:line="360" w:lineRule="auto"/>
        <w:ind w:left="0" w:leftChars="0"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在高阳镇安家、洼里等区域采取无人机喷洒化学药剂等方式进行森林病虫害作业防治，作业防治面积2.5万亩。</w:t>
      </w:r>
    </w:p>
    <w:p>
      <w:pPr>
        <w:numPr>
          <w:ilvl w:val="0"/>
          <w:numId w:val="0"/>
        </w:numPr>
        <w:spacing w:line="360" w:lineRule="auto"/>
        <w:ind w:left="0" w:leftChars="0"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（2）监测预警</w:t>
      </w:r>
    </w:p>
    <w:p>
      <w:pPr>
        <w:numPr>
          <w:ilvl w:val="0"/>
          <w:numId w:val="0"/>
        </w:numPr>
        <w:spacing w:line="360" w:lineRule="auto"/>
        <w:ind w:left="0" w:leftChars="0"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完成项目区2.5万亩森林日常巡查监测</w:t>
      </w:r>
      <w:r>
        <w:rPr>
          <w:rFonts w:hint="eastAsia" w:ascii="宋体" w:hAnsi="宋体" w:cs="宋体"/>
          <w:b w:val="0"/>
          <w:bCs/>
          <w:sz w:val="21"/>
          <w:szCs w:val="21"/>
          <w:lang w:val="en-US" w:eastAsia="zh-CN"/>
        </w:rPr>
        <w:t>。</w:t>
      </w:r>
      <w:bookmarkStart w:id="3" w:name="_GoBack"/>
      <w:bookmarkEnd w:id="3"/>
    </w:p>
    <w:p>
      <w:pPr>
        <w:numPr>
          <w:ilvl w:val="0"/>
          <w:numId w:val="0"/>
        </w:numPr>
        <w:spacing w:line="360" w:lineRule="auto"/>
        <w:ind w:left="0" w:leftChars="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三、主要技术措施</w:t>
      </w:r>
    </w:p>
    <w:p>
      <w:pPr>
        <w:numPr>
          <w:ilvl w:val="0"/>
          <w:numId w:val="0"/>
        </w:numPr>
        <w:spacing w:line="360" w:lineRule="auto"/>
        <w:ind w:left="0" w:leftChars="0"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1、病虫害防治措施</w:t>
      </w:r>
    </w:p>
    <w:p>
      <w:pPr>
        <w:numPr>
          <w:ilvl w:val="0"/>
          <w:numId w:val="0"/>
        </w:numPr>
        <w:spacing w:line="360" w:lineRule="auto"/>
        <w:ind w:left="0" w:leftChars="0"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1.1 飞机喷药防治</w:t>
      </w:r>
    </w:p>
    <w:p>
      <w:pPr>
        <w:numPr>
          <w:ilvl w:val="0"/>
          <w:numId w:val="0"/>
        </w:numPr>
        <w:spacing w:line="360" w:lineRule="auto"/>
        <w:ind w:left="0" w:leftChars="0"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在我县高阳镇安家、洼里等林区，针对项目区内的</w:t>
      </w:r>
      <w:bookmarkStart w:id="0" w:name="OLE_LINK16"/>
      <w:bookmarkStart w:id="1" w:name="OLE_LINK15"/>
      <w:r>
        <w:rPr>
          <w:rFonts w:hint="eastAsia" w:ascii="宋体" w:hAnsi="宋体" w:eastAsia="宋体" w:cs="宋体"/>
          <w:b w:val="0"/>
          <w:bCs/>
          <w:sz w:val="21"/>
          <w:szCs w:val="21"/>
          <w:lang w:val="en-US" w:eastAsia="zh-CN"/>
        </w:rPr>
        <w:t>侧柏叶枯病、侧柏红蜘蛛、侧柏大蚜、侧柏毒蛾、天牛、吉丁虫、小蠹虫等</w:t>
      </w:r>
      <w:bookmarkEnd w:id="0"/>
      <w:bookmarkEnd w:id="1"/>
      <w:r>
        <w:rPr>
          <w:rFonts w:hint="eastAsia" w:ascii="宋体" w:hAnsi="宋体" w:eastAsia="宋体" w:cs="宋体"/>
          <w:b w:val="0"/>
          <w:bCs/>
          <w:sz w:val="21"/>
          <w:szCs w:val="21"/>
          <w:lang w:val="en-US" w:eastAsia="zh-CN"/>
        </w:rPr>
        <w:t>病虫害，使用无人机对区域内洒药剂防治防控。</w:t>
      </w:r>
    </w:p>
    <w:p>
      <w:pPr>
        <w:numPr>
          <w:ilvl w:val="0"/>
          <w:numId w:val="0"/>
        </w:numPr>
        <w:spacing w:line="360" w:lineRule="auto"/>
        <w:ind w:left="0" w:leftChars="0"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1.2 作业地点及面积</w:t>
      </w:r>
    </w:p>
    <w:p>
      <w:pPr>
        <w:numPr>
          <w:ilvl w:val="0"/>
          <w:numId w:val="0"/>
        </w:numPr>
        <w:spacing w:line="360" w:lineRule="auto"/>
        <w:ind w:left="0" w:leftChars="0"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在蒲城县高阳镇安家、洼里等集中连片区域，实施防治面积2.5万亩。</w:t>
      </w:r>
    </w:p>
    <w:p>
      <w:pPr>
        <w:numPr>
          <w:ilvl w:val="0"/>
          <w:numId w:val="0"/>
        </w:numPr>
        <w:spacing w:line="360" w:lineRule="auto"/>
        <w:ind w:left="0" w:leftChars="0"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1.3作业机型和飞防资质</w:t>
      </w:r>
    </w:p>
    <w:p>
      <w:pPr>
        <w:numPr>
          <w:ilvl w:val="0"/>
          <w:numId w:val="0"/>
        </w:numPr>
        <w:spacing w:line="360" w:lineRule="auto"/>
        <w:ind w:left="0" w:leftChars="0"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根据飞防作业区地形地势、林木分布、林分条件和防治作业效果等选择适宜的机型，结合我县及周边县区飞访经验，选用植保无人机喷洒药物防治作业。承担飞防任务的公司应该具备《中华人民共和国民用航空法》及CCAR91规定的资质。</w:t>
      </w:r>
    </w:p>
    <w:p>
      <w:pPr>
        <w:pStyle w:val="2"/>
        <w:spacing w:line="360" w:lineRule="auto"/>
        <w:ind w:firstLine="643"/>
        <w:rPr>
          <w:rFonts w:hint="eastAsia" w:ascii="宋体" w:hAnsi="宋体" w:eastAsia="宋体" w:cs="宋体"/>
          <w:b w:val="0"/>
          <w:bCs/>
          <w:kern w:val="2"/>
          <w:sz w:val="21"/>
          <w:szCs w:val="21"/>
          <w:lang w:val="en-US" w:eastAsia="zh-CN" w:bidi="ar-SA"/>
        </w:rPr>
      </w:pPr>
      <w:r>
        <w:rPr>
          <w:rFonts w:hint="eastAsia" w:ascii="宋体" w:hAnsi="宋体" w:cs="宋体"/>
          <w:b w:val="0"/>
          <w:bCs/>
          <w:sz w:val="21"/>
          <w:szCs w:val="21"/>
          <w:lang w:val="en-US" w:eastAsia="zh-CN"/>
        </w:rPr>
        <w:t>2</w:t>
      </w:r>
      <w:r>
        <w:rPr>
          <w:rFonts w:hint="eastAsia" w:ascii="宋体" w:hAnsi="宋体" w:cs="宋体"/>
          <w:b/>
          <w:bCs w:val="0"/>
          <w:sz w:val="21"/>
          <w:szCs w:val="21"/>
          <w:lang w:val="en-US" w:eastAsia="zh-CN"/>
        </w:rPr>
        <w:t>、</w:t>
      </w:r>
      <w:r>
        <w:rPr>
          <w:rFonts w:hint="eastAsia" w:ascii="宋体" w:hAnsi="宋体" w:eastAsia="宋体" w:cs="宋体"/>
          <w:b w:val="0"/>
          <w:bCs/>
          <w:kern w:val="2"/>
          <w:sz w:val="21"/>
          <w:szCs w:val="21"/>
          <w:lang w:val="en-US" w:eastAsia="zh-CN" w:bidi="ar-SA"/>
        </w:rPr>
        <w:t>病虫害监测</w:t>
      </w:r>
    </w:p>
    <w:p>
      <w:pPr>
        <w:spacing w:line="360" w:lineRule="auto"/>
        <w:ind w:firstLine="420" w:firstLineChars="200"/>
        <w:rPr>
          <w:rFonts w:hint="default" w:ascii="宋体" w:hAnsi="宋体" w:cs="宋体"/>
          <w:b/>
          <w:bCs w:val="0"/>
          <w:sz w:val="21"/>
          <w:szCs w:val="21"/>
          <w:lang w:val="en-US" w:eastAsia="zh-CN"/>
        </w:rPr>
      </w:pPr>
      <w:r>
        <w:rPr>
          <w:rFonts w:hint="eastAsia" w:ascii="宋体" w:hAnsi="宋体" w:eastAsia="宋体" w:cs="宋体"/>
          <w:b w:val="0"/>
          <w:bCs/>
          <w:kern w:val="2"/>
          <w:sz w:val="21"/>
          <w:szCs w:val="21"/>
          <w:lang w:val="en-US" w:eastAsia="zh-CN" w:bidi="ar-SA"/>
        </w:rPr>
        <w:t>针对项目区情况，组织专人在飞防作业后，对25000亩防治区域进行分片区、分区域监测，做到有登记、有印证，不留死角的全面监测。主要监测侧柏叶枯病、侧柏红蜘蛛、侧柏大蚜、侧柏毒蛾、天牛、吉丁虫、小蠹虫等防治效果。</w:t>
      </w:r>
    </w:p>
    <w:p>
      <w:pPr>
        <w:numPr>
          <w:ilvl w:val="0"/>
          <w:numId w:val="0"/>
        </w:numPr>
        <w:spacing w:line="360" w:lineRule="auto"/>
        <w:ind w:left="0" w:leftChars="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四、项目实施要求</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1、作业时间</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应选择在2026年4月下旬至5月上旬。</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2、使用药品及数量</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 10%吡虫啉：100克/亩；</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 25%噻虫嗪：20克/亩；</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 4.5%高效氯氰菊酯：50克/亩</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(4）2.5%溴氰菊酯：30克/亩；</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将10%吡虫啉、25%噻虫嗪、4.5%高效氯氰菊酯、2.5%溴氰菊酯按比例混成悬混迹，用飞机将其喷洒在树干、树冠部。经测算防治作业面积2.5万亩，共需要10%吡虫啉2500千克，25%噻虫嗪500千克，4.5%高效氯氰菊酯1250千克，2.5%溴氰菊酯750千克。农药应选择三证齐全，符合国家标准的农药产品。</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3、飞防作业前公告</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（1）飞防作业前必须完成设备实名登记、人员资质审核、空域/公安/农业部门备案等相关手续。</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应于飞防作业前15天，通过广播、电视和张贴通告等形式向飞防区所在乡镇和村、组发出飞防作业安全防护须知，飞防作业期间不得进入作业区放牧，游玩、挖野菜等。提前调查飞防作业区范围内是否有养蚕、养鱼、养蜂和饲养林下动物的企业或农户，提前做好应对处置工作，避免发生意外事件。</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4、飞行作业航高</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无人机飞行高度一般要求保持在离树梢5-10米；复杂地形飞行作业高度可适当提高，离树梢不得超过20米，但必须保证作业质量。飞手应该注意有通信塔和高压线的作业区飞行高度。</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5、飞行作业速度及喷幅要求作业速度3米/秒，喷幅要求为5-10米（视飞行速度、高度、环境进行调整）。</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6、 飞行作业工日</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按照每架次载药量40千克，日防治面积1800亩，防治面积2.5亩共需飞行作业15个工作日。</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7、飞防作业用工量</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根据飞防工作量，共需要工作人员16人，配备4辆工作用车。一个放置单元需要工作人员4人，包括控制测绘无人机、作业无人机、汽油发电机、注药泵等。后勤保障2人，配备工作车辆1辆。飞防区工作人员2名，配备工作车辆1辆。</w:t>
      </w:r>
    </w:p>
    <w:p>
      <w:pPr>
        <w:numPr>
          <w:ilvl w:val="0"/>
          <w:numId w:val="0"/>
        </w:numPr>
        <w:spacing w:line="360" w:lineRule="auto"/>
        <w:ind w:left="0" w:leftChars="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五、验收标准与方法</w:t>
      </w:r>
    </w:p>
    <w:p>
      <w:pPr>
        <w:spacing w:line="360" w:lineRule="auto"/>
        <w:ind w:firstLine="420" w:firstLineChars="200"/>
        <w:rPr>
          <w:rFonts w:hint="eastAsia" w:ascii="宋体" w:hAnsi="宋体" w:eastAsia="宋体" w:cs="宋体"/>
          <w:b w:val="0"/>
          <w:bCs/>
          <w:kern w:val="2"/>
          <w:sz w:val="21"/>
          <w:szCs w:val="21"/>
          <w:lang w:val="en-US" w:eastAsia="zh-CN" w:bidi="ar-SA"/>
        </w:rPr>
      </w:pPr>
      <w:bookmarkStart w:id="2" w:name="OLE_LINK7"/>
      <w:r>
        <w:rPr>
          <w:rFonts w:hint="eastAsia" w:ascii="宋体" w:hAnsi="宋体" w:eastAsia="宋体" w:cs="宋体"/>
          <w:b w:val="0"/>
          <w:bCs/>
          <w:kern w:val="2"/>
          <w:sz w:val="21"/>
          <w:szCs w:val="21"/>
          <w:lang w:val="en-US" w:eastAsia="zh-CN" w:bidi="ar-SA"/>
        </w:rPr>
        <w:t>1、病虫害发生率：</w:t>
      </w:r>
      <w:bookmarkEnd w:id="2"/>
      <w:r>
        <w:rPr>
          <w:rFonts w:hint="eastAsia" w:ascii="宋体" w:hAnsi="宋体" w:eastAsia="宋体" w:cs="宋体"/>
          <w:b w:val="0"/>
          <w:bCs/>
          <w:kern w:val="2"/>
          <w:sz w:val="21"/>
          <w:szCs w:val="21"/>
          <w:lang w:val="en-US" w:eastAsia="zh-CN" w:bidi="ar-SA"/>
        </w:rPr>
        <w:t>病虫害发生率是衡量防治效果的重要指标之一。通过对比防治前后的病虫害数量变化，可以直观反映防治工作的成效。基本要求病虫害发生率应显著降低。</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2、防治效果指数：防治效果指数是评估防治效果的综合指标。通过计算防治效果值，定量描述防治工作的效果要求防治效果达到85%以上。</w:t>
      </w:r>
    </w:p>
    <w:p>
      <w:pPr>
        <w:spacing w:line="360" w:lineRule="auto"/>
        <w:ind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3、生态环境影响评估：评估防治效果时，还要考虑防治措施对生态环境的影响。包括土壤、生物多样性等方面的变化。通过全面评估，确保防治措施既有效又环保。</w:t>
      </w:r>
    </w:p>
    <w:p>
      <w:pPr>
        <w:numPr>
          <w:ilvl w:val="0"/>
          <w:numId w:val="0"/>
        </w:numPr>
        <w:spacing w:line="360" w:lineRule="auto"/>
        <w:ind w:left="0" w:leftChars="0"/>
        <w:rPr>
          <w:rFonts w:hint="eastAsia" w:ascii="宋体" w:hAnsi="宋体" w:eastAsia="宋体" w:cs="宋体"/>
          <w:b/>
          <w:sz w:val="24"/>
          <w:szCs w:val="24"/>
        </w:rPr>
      </w:pPr>
      <w:r>
        <w:rPr>
          <w:rFonts w:hint="eastAsia" w:ascii="宋体" w:hAnsi="宋体" w:cs="宋体"/>
          <w:b/>
          <w:sz w:val="24"/>
          <w:szCs w:val="24"/>
          <w:lang w:val="en-US" w:eastAsia="zh-CN"/>
        </w:rPr>
        <w:t>六</w:t>
      </w:r>
      <w:r>
        <w:rPr>
          <w:rFonts w:hint="eastAsia" w:ascii="宋体" w:hAnsi="宋体" w:eastAsia="宋体" w:cs="宋体"/>
          <w:b/>
          <w:sz w:val="24"/>
          <w:szCs w:val="24"/>
          <w:lang w:eastAsia="zh-CN"/>
        </w:rPr>
        <w:t>、</w:t>
      </w:r>
      <w:r>
        <w:rPr>
          <w:rFonts w:hint="eastAsia" w:ascii="宋体" w:hAnsi="宋体" w:eastAsia="宋体" w:cs="宋体"/>
          <w:b/>
          <w:sz w:val="24"/>
          <w:szCs w:val="24"/>
        </w:rPr>
        <w:t>违约责任</w:t>
      </w:r>
      <w:r>
        <w:rPr>
          <w:rFonts w:hint="eastAsia" w:ascii="宋体" w:hAnsi="宋体" w:eastAsia="宋体" w:cs="宋体"/>
          <w:b/>
          <w:bCs w:val="0"/>
          <w:sz w:val="24"/>
          <w:szCs w:val="24"/>
        </w:rPr>
        <w:t>：</w:t>
      </w:r>
    </w:p>
    <w:p>
      <w:pPr>
        <w:numPr>
          <w:ilvl w:val="0"/>
          <w:numId w:val="0"/>
        </w:numPr>
        <w:spacing w:line="360" w:lineRule="auto"/>
        <w:ind w:firstLine="420" w:firstLineChars="200"/>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1、按《民法典》中的相关条款执行。</w:t>
      </w:r>
    </w:p>
    <w:p>
      <w:pPr>
        <w:spacing w:line="360" w:lineRule="auto"/>
        <w:ind w:firstLine="420" w:firstLineChars="200"/>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2、供应商未按合同要求提供货物或服务质量不能满足技术要求，应按照采购人要求无条件重新提供相关服务并满足采购人需求，因此产生的费用均由供应商承担；否则，采购人有权解除本合同，解除本合同书面通知书到达供应商之日视为本合同已解除，并按以下两种方式追究供应商责任：</w:t>
      </w:r>
    </w:p>
    <w:p>
      <w:pPr>
        <w:spacing w:line="360" w:lineRule="auto"/>
        <w:ind w:firstLine="420" w:firstLineChars="200"/>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（1）供应商赔偿采购人解除本合同的全部损失（包括但不限于重新采购产生的费用）；</w:t>
      </w:r>
    </w:p>
    <w:p>
      <w:pPr>
        <w:spacing w:line="360" w:lineRule="auto"/>
        <w:ind w:firstLine="420" w:firstLineChars="200"/>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2）供应商支付采购人违约金。违约金计算方式：以本合同总价为基数，支付采购人合同总价的30%违约金，并对供应商的违约行为报监管机构进行相应的处罚，违约金不足以弥补因此给采购人造成的损失的，供应商应予以补足。</w:t>
      </w:r>
    </w:p>
    <w:p>
      <w:pPr>
        <w:spacing w:line="360" w:lineRule="auto"/>
        <w:ind w:firstLine="420" w:firstLineChars="200"/>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（3）供应商应做好相关防护工作，供应商履行本合同造成的任何损害均自行承担。</w:t>
      </w:r>
    </w:p>
    <w:p>
      <w:pPr>
        <w:spacing w:line="360" w:lineRule="auto"/>
        <w:ind w:firstLine="420" w:firstLineChars="200"/>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（4）供应商不得将项目转让、分包给其他单位或个人，供应商的投标文件和承诺等内容将列入本合同。</w:t>
      </w:r>
    </w:p>
    <w:p>
      <w:pPr>
        <w:numPr>
          <w:ilvl w:val="0"/>
          <w:numId w:val="0"/>
        </w:numPr>
        <w:tabs>
          <w:tab w:val="left" w:pos="498"/>
        </w:tabs>
        <w:spacing w:line="360" w:lineRule="auto"/>
        <w:ind w:left="0" w:leftChars="0" w:firstLine="0" w:firstLineChars="0"/>
        <w:jc w:val="left"/>
        <w:rPr>
          <w:rFonts w:hint="eastAsia" w:ascii="宋体" w:hAnsi="宋体" w:eastAsia="宋体" w:cs="宋体"/>
          <w:b/>
          <w:sz w:val="24"/>
          <w:szCs w:val="24"/>
        </w:rPr>
      </w:pPr>
      <w:r>
        <w:rPr>
          <w:rFonts w:hint="eastAsia" w:ascii="宋体" w:hAnsi="宋体" w:cs="宋体"/>
          <w:b/>
          <w:sz w:val="24"/>
          <w:szCs w:val="24"/>
          <w:lang w:val="en-US" w:eastAsia="zh-CN"/>
        </w:rPr>
        <w:t>七</w:t>
      </w:r>
      <w:r>
        <w:rPr>
          <w:rFonts w:hint="eastAsia" w:ascii="宋体" w:hAnsi="宋体" w:eastAsia="宋体" w:cs="宋体"/>
          <w:b/>
          <w:bCs w:val="0"/>
          <w:sz w:val="24"/>
          <w:szCs w:val="24"/>
        </w:rPr>
        <w:t>、</w:t>
      </w:r>
      <w:r>
        <w:rPr>
          <w:rFonts w:hint="eastAsia" w:ascii="宋体" w:hAnsi="宋体" w:eastAsia="宋体" w:cs="宋体"/>
          <w:b/>
          <w:sz w:val="24"/>
          <w:szCs w:val="24"/>
        </w:rPr>
        <w:t>合同争议的解决：</w:t>
      </w:r>
    </w:p>
    <w:p>
      <w:pPr>
        <w:numPr>
          <w:ilvl w:val="0"/>
          <w:numId w:val="0"/>
        </w:numPr>
        <w:tabs>
          <w:tab w:val="left" w:pos="498"/>
        </w:tabs>
        <w:spacing w:line="360" w:lineRule="auto"/>
        <w:ind w:left="0" w:leftChars="0" w:firstLine="420" w:firstLineChars="200"/>
        <w:jc w:val="left"/>
        <w:rPr>
          <w:rFonts w:hint="eastAsia" w:ascii="宋体" w:hAnsi="宋体" w:eastAsia="宋体" w:cs="宋体"/>
          <w:sz w:val="21"/>
          <w:szCs w:val="18"/>
        </w:rPr>
      </w:pPr>
      <w:r>
        <w:rPr>
          <w:rFonts w:hint="eastAsia" w:ascii="宋体" w:hAnsi="宋体" w:eastAsia="宋体" w:cs="宋体"/>
          <w:sz w:val="21"/>
          <w:szCs w:val="18"/>
        </w:rPr>
        <w:t>合同执行中发生争议的，当事人双方应协商解决，协商达不成一致时，可向采购人所在地人民法院提请诉讼。</w:t>
      </w:r>
    </w:p>
    <w:p>
      <w:pPr>
        <w:tabs>
          <w:tab w:val="left" w:pos="498"/>
        </w:tabs>
        <w:spacing w:line="360" w:lineRule="auto"/>
        <w:ind w:left="480" w:hanging="482" w:hangingChars="200"/>
        <w:jc w:val="left"/>
        <w:rPr>
          <w:rFonts w:hint="eastAsia" w:ascii="宋体" w:hAnsi="宋体" w:eastAsia="宋体" w:cs="宋体"/>
          <w:b/>
          <w:bCs w:val="0"/>
          <w:sz w:val="24"/>
          <w:szCs w:val="24"/>
          <w:lang w:eastAsia="zh-CN"/>
        </w:rPr>
      </w:pPr>
      <w:r>
        <w:rPr>
          <w:rFonts w:hint="eastAsia" w:ascii="宋体" w:hAnsi="宋体" w:cs="宋体"/>
          <w:b/>
          <w:bCs w:val="0"/>
          <w:sz w:val="24"/>
          <w:szCs w:val="24"/>
          <w:lang w:val="en-US" w:eastAsia="zh-CN"/>
        </w:rPr>
        <w:t>八</w:t>
      </w:r>
      <w:r>
        <w:rPr>
          <w:rFonts w:hint="eastAsia" w:ascii="宋体" w:hAnsi="宋体" w:eastAsia="宋体" w:cs="宋体"/>
          <w:b/>
          <w:bCs w:val="0"/>
          <w:sz w:val="24"/>
          <w:szCs w:val="24"/>
        </w:rPr>
        <w:t>、不可抗力情况下的免责约定</w:t>
      </w:r>
      <w:r>
        <w:rPr>
          <w:rFonts w:hint="eastAsia" w:ascii="宋体" w:hAnsi="宋体" w:eastAsia="宋体" w:cs="宋体"/>
          <w:b/>
          <w:bCs w:val="0"/>
          <w:sz w:val="24"/>
          <w:szCs w:val="24"/>
          <w:lang w:eastAsia="zh-CN"/>
        </w:rPr>
        <w:t>：</w:t>
      </w:r>
    </w:p>
    <w:p>
      <w:pPr>
        <w:tabs>
          <w:tab w:val="left" w:pos="498"/>
        </w:tabs>
        <w:spacing w:line="360" w:lineRule="auto"/>
        <w:ind w:left="418" w:leftChars="174" w:firstLine="0" w:firstLineChars="0"/>
        <w:jc w:val="left"/>
        <w:rPr>
          <w:rFonts w:hint="eastAsia" w:ascii="宋体" w:hAnsi="宋体" w:eastAsia="宋体" w:cs="宋体"/>
          <w:sz w:val="21"/>
          <w:szCs w:val="18"/>
        </w:rPr>
      </w:pPr>
      <w:r>
        <w:rPr>
          <w:rFonts w:hint="eastAsia" w:ascii="宋体" w:hAnsi="宋体" w:eastAsia="宋体" w:cs="宋体"/>
          <w:sz w:val="21"/>
          <w:szCs w:val="18"/>
        </w:rPr>
        <w:t>不可抗力情况下的免责约定，双方约定不可抗力情况包括：五级以上地震、大风、大雨、</w:t>
      </w:r>
    </w:p>
    <w:p>
      <w:pPr>
        <w:tabs>
          <w:tab w:val="left" w:pos="498"/>
        </w:tabs>
        <w:spacing w:line="360" w:lineRule="auto"/>
        <w:jc w:val="left"/>
        <w:rPr>
          <w:rFonts w:hint="eastAsia" w:ascii="宋体" w:hAnsi="宋体" w:eastAsia="宋体" w:cs="宋体"/>
          <w:sz w:val="24"/>
          <w:szCs w:val="24"/>
        </w:rPr>
      </w:pPr>
      <w:r>
        <w:rPr>
          <w:rFonts w:hint="eastAsia" w:ascii="宋体" w:hAnsi="宋体" w:eastAsia="宋体" w:cs="宋体"/>
          <w:sz w:val="21"/>
          <w:szCs w:val="18"/>
        </w:rPr>
        <w:t>大雪。</w:t>
      </w:r>
    </w:p>
    <w:p>
      <w:pPr>
        <w:tabs>
          <w:tab w:val="left" w:pos="498"/>
        </w:tabs>
        <w:spacing w:line="360" w:lineRule="auto"/>
        <w:jc w:val="left"/>
        <w:rPr>
          <w:rFonts w:hint="eastAsia" w:ascii="宋体" w:hAnsi="宋体" w:eastAsia="宋体" w:cs="宋体"/>
          <w:b/>
          <w:bCs w:val="0"/>
          <w:sz w:val="24"/>
          <w:szCs w:val="24"/>
        </w:rPr>
      </w:pPr>
      <w:r>
        <w:rPr>
          <w:rFonts w:hint="eastAsia" w:ascii="宋体" w:hAnsi="宋体" w:cs="宋体"/>
          <w:b/>
          <w:bCs w:val="0"/>
          <w:sz w:val="24"/>
          <w:szCs w:val="24"/>
          <w:lang w:val="en-US" w:eastAsia="zh-CN"/>
        </w:rPr>
        <w:t>九</w:t>
      </w:r>
      <w:r>
        <w:rPr>
          <w:rFonts w:hint="eastAsia" w:ascii="宋体" w:hAnsi="宋体" w:eastAsia="宋体" w:cs="宋体"/>
          <w:b/>
          <w:bCs w:val="0"/>
          <w:sz w:val="24"/>
          <w:szCs w:val="24"/>
        </w:rPr>
        <w:t>、合同执行中发生争议</w:t>
      </w:r>
      <w:r>
        <w:rPr>
          <w:rFonts w:hint="eastAsia" w:ascii="宋体" w:hAnsi="宋体" w:eastAsia="宋体" w:cs="宋体"/>
          <w:b/>
          <w:bCs w:val="0"/>
          <w:sz w:val="24"/>
          <w:szCs w:val="24"/>
          <w:lang w:eastAsia="zh-CN"/>
        </w:rPr>
        <w:t>：</w:t>
      </w:r>
    </w:p>
    <w:p>
      <w:pPr>
        <w:tabs>
          <w:tab w:val="left" w:pos="498"/>
        </w:tabs>
        <w:spacing w:line="360" w:lineRule="auto"/>
        <w:ind w:firstLine="420" w:firstLineChars="200"/>
        <w:jc w:val="left"/>
        <w:rPr>
          <w:rFonts w:hint="eastAsia" w:ascii="宋体" w:hAnsi="宋体" w:eastAsia="宋体" w:cs="宋体"/>
          <w:b w:val="0"/>
          <w:sz w:val="21"/>
          <w:szCs w:val="18"/>
        </w:rPr>
      </w:pPr>
      <w:r>
        <w:rPr>
          <w:rFonts w:hint="eastAsia" w:ascii="宋体" w:hAnsi="宋体" w:eastAsia="宋体" w:cs="宋体"/>
          <w:sz w:val="21"/>
          <w:szCs w:val="18"/>
        </w:rPr>
        <w:t>合同执行中发生争议的，当事人双方应协商解决，协商达不成一致时，双方同意向</w:t>
      </w:r>
      <w:r>
        <w:rPr>
          <w:rFonts w:hint="eastAsia" w:ascii="宋体" w:hAnsi="宋体" w:cs="宋体"/>
          <w:sz w:val="21"/>
          <w:szCs w:val="18"/>
          <w:lang w:eastAsia="zh-CN"/>
        </w:rPr>
        <w:t>渭南</w:t>
      </w:r>
      <w:r>
        <w:rPr>
          <w:rFonts w:hint="eastAsia" w:ascii="宋体" w:hAnsi="宋体" w:eastAsia="宋体" w:cs="宋体"/>
          <w:sz w:val="21"/>
          <w:szCs w:val="18"/>
        </w:rPr>
        <w:t xml:space="preserve">市仲裁委员会申请仲裁。   </w:t>
      </w:r>
    </w:p>
    <w:p>
      <w:pPr>
        <w:spacing w:line="360" w:lineRule="auto"/>
        <w:rPr>
          <w:rFonts w:hint="eastAsia" w:ascii="宋体" w:hAnsi="宋体" w:eastAsia="宋体" w:cs="宋体"/>
          <w:b/>
          <w:bCs w:val="0"/>
          <w:sz w:val="24"/>
          <w:szCs w:val="24"/>
          <w:lang w:val="en-US" w:eastAsia="zh-CN"/>
        </w:rPr>
      </w:pPr>
      <w:r>
        <w:rPr>
          <w:rFonts w:hint="eastAsia" w:ascii="宋体" w:hAnsi="宋体" w:cs="宋体"/>
          <w:b/>
          <w:bCs w:val="0"/>
          <w:sz w:val="24"/>
          <w:szCs w:val="24"/>
          <w:lang w:val="en-US" w:eastAsia="zh-CN"/>
        </w:rPr>
        <w:t>十</w:t>
      </w:r>
      <w:r>
        <w:rPr>
          <w:rFonts w:hint="eastAsia" w:ascii="宋体" w:hAnsi="宋体" w:eastAsia="宋体" w:cs="宋体"/>
          <w:b/>
          <w:bCs w:val="0"/>
          <w:sz w:val="24"/>
          <w:szCs w:val="24"/>
        </w:rPr>
        <w:t>、合同</w:t>
      </w:r>
      <w:r>
        <w:rPr>
          <w:rFonts w:hint="eastAsia" w:ascii="宋体" w:hAnsi="宋体" w:eastAsia="宋体" w:cs="宋体"/>
          <w:b/>
          <w:bCs w:val="0"/>
          <w:sz w:val="24"/>
          <w:szCs w:val="24"/>
          <w:lang w:val="en-US" w:eastAsia="zh-CN"/>
        </w:rPr>
        <w:t>变更</w:t>
      </w:r>
      <w:r>
        <w:rPr>
          <w:rFonts w:hint="eastAsia" w:ascii="宋体" w:hAnsi="宋体" w:eastAsia="宋体" w:cs="宋体"/>
          <w:b/>
          <w:bCs w:val="0"/>
          <w:sz w:val="24"/>
          <w:szCs w:val="24"/>
          <w:lang w:eastAsia="zh-CN"/>
        </w:rPr>
        <w:t>：</w:t>
      </w:r>
    </w:p>
    <w:p>
      <w:pPr>
        <w:tabs>
          <w:tab w:val="left" w:pos="498"/>
        </w:tabs>
        <w:spacing w:line="360" w:lineRule="auto"/>
        <w:ind w:firstLine="420" w:firstLineChars="200"/>
        <w:rPr>
          <w:rFonts w:hint="eastAsia" w:ascii="宋体" w:hAnsi="宋体" w:eastAsia="宋体" w:cs="宋体"/>
          <w:sz w:val="21"/>
          <w:szCs w:val="18"/>
        </w:rPr>
      </w:pPr>
      <w:r>
        <w:rPr>
          <w:rFonts w:hint="eastAsia" w:ascii="宋体" w:hAnsi="宋体" w:eastAsia="宋体" w:cs="宋体"/>
          <w:sz w:val="21"/>
          <w:szCs w:val="18"/>
        </w:rPr>
        <w:t>除本合同约定，合同一经签订，不得擅自变更、中止或者终止合同。对确需变更、调整或者中止、终止合同的，应按规定履行相应的手续。</w:t>
      </w:r>
    </w:p>
    <w:p>
      <w:pPr>
        <w:spacing w:line="360" w:lineRule="auto"/>
        <w:ind w:left="482" w:hanging="482" w:hangingChars="200"/>
        <w:rPr>
          <w:rFonts w:hint="eastAsia" w:ascii="宋体" w:hAnsi="宋体" w:eastAsia="宋体" w:cs="宋体"/>
          <w:b/>
          <w:sz w:val="24"/>
          <w:szCs w:val="24"/>
          <w:lang w:val="en-US" w:eastAsia="zh-CN"/>
        </w:rPr>
      </w:pPr>
      <w:r>
        <w:rPr>
          <w:rFonts w:hint="eastAsia" w:ascii="宋体" w:hAnsi="宋体" w:cs="宋体"/>
          <w:b/>
          <w:sz w:val="24"/>
          <w:szCs w:val="24"/>
          <w:lang w:val="en-US" w:eastAsia="zh-CN"/>
        </w:rPr>
        <w:t>十一</w:t>
      </w:r>
      <w:r>
        <w:rPr>
          <w:rFonts w:hint="eastAsia" w:ascii="宋体" w:hAnsi="宋体" w:eastAsia="宋体" w:cs="宋体"/>
          <w:b/>
          <w:sz w:val="24"/>
          <w:szCs w:val="24"/>
        </w:rPr>
        <w:t>、其他</w:t>
      </w:r>
      <w:r>
        <w:rPr>
          <w:rFonts w:hint="eastAsia" w:ascii="宋体" w:hAnsi="宋体" w:eastAsia="宋体" w:cs="宋体"/>
          <w:b/>
          <w:sz w:val="24"/>
          <w:szCs w:val="24"/>
          <w:lang w:val="en-US" w:eastAsia="zh-CN"/>
        </w:rPr>
        <w:t>:</w:t>
      </w:r>
    </w:p>
    <w:p>
      <w:pPr>
        <w:spacing w:line="360" w:lineRule="auto"/>
        <w:ind w:left="482" w:hanging="420" w:hangingChars="200"/>
        <w:rPr>
          <w:rFonts w:hint="eastAsia" w:ascii="宋体" w:hAnsi="宋体" w:eastAsia="宋体" w:cs="宋体"/>
          <w:b/>
          <w:sz w:val="24"/>
          <w:szCs w:val="24"/>
          <w:lang w:val="en-US" w:eastAsia="zh-CN"/>
        </w:rPr>
      </w:pPr>
      <w:r>
        <w:rPr>
          <w:rFonts w:hint="eastAsia" w:ascii="宋体" w:hAnsi="宋体" w:eastAsia="宋体" w:cs="宋体"/>
          <w:color w:val="auto"/>
          <w:sz w:val="21"/>
          <w:szCs w:val="21"/>
          <w:highlight w:val="none"/>
          <w:u w:val="single"/>
        </w:rPr>
        <w:t xml:space="preserve">                                   </w:t>
      </w:r>
    </w:p>
    <w:p>
      <w:pPr>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十</w:t>
      </w:r>
      <w:r>
        <w:rPr>
          <w:rFonts w:hint="eastAsia" w:ascii="宋体" w:hAnsi="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、项目费用结算:</w:t>
      </w:r>
    </w:p>
    <w:p>
      <w:pPr>
        <w:tabs>
          <w:tab w:val="left" w:pos="498"/>
        </w:tabs>
        <w:spacing w:line="360" w:lineRule="auto"/>
        <w:ind w:firstLine="420" w:firstLineChars="200"/>
        <w:rPr>
          <w:rFonts w:hint="eastAsia" w:ascii="宋体" w:hAnsi="宋体" w:eastAsia="宋体" w:cs="宋体"/>
          <w:sz w:val="21"/>
          <w:szCs w:val="18"/>
          <w:highlight w:val="none"/>
        </w:rPr>
      </w:pPr>
      <w:r>
        <w:rPr>
          <w:rFonts w:hint="eastAsia" w:ascii="宋体" w:hAnsi="宋体" w:eastAsia="宋体" w:cs="宋体"/>
          <w:sz w:val="21"/>
          <w:szCs w:val="18"/>
          <w:highlight w:val="none"/>
        </w:rPr>
        <w:t>项目总计费用为人民币</w:t>
      </w:r>
      <w:r>
        <w:rPr>
          <w:rFonts w:hint="eastAsia" w:ascii="宋体" w:hAnsi="宋体" w:eastAsia="宋体" w:cs="宋体"/>
          <w:sz w:val="21"/>
          <w:szCs w:val="18"/>
          <w:highlight w:val="none"/>
          <w:u w:val="single"/>
        </w:rPr>
        <w:t xml:space="preserve">       </w:t>
      </w:r>
      <w:r>
        <w:rPr>
          <w:rFonts w:hint="eastAsia" w:ascii="宋体" w:hAnsi="宋体" w:eastAsia="宋体" w:cs="宋体"/>
          <w:sz w:val="21"/>
          <w:szCs w:val="18"/>
          <w:highlight w:val="none"/>
        </w:rPr>
        <w:t>元，大写</w:t>
      </w:r>
      <w:r>
        <w:rPr>
          <w:rFonts w:hint="eastAsia" w:ascii="宋体" w:hAnsi="宋体" w:eastAsia="宋体" w:cs="宋体"/>
          <w:sz w:val="21"/>
          <w:szCs w:val="18"/>
          <w:highlight w:val="none"/>
          <w:u w:val="single"/>
        </w:rPr>
        <w:t xml:space="preserve">      </w:t>
      </w:r>
      <w:r>
        <w:rPr>
          <w:rFonts w:hint="eastAsia" w:ascii="宋体" w:hAnsi="宋体" w:eastAsia="宋体" w:cs="宋体"/>
          <w:sz w:val="21"/>
          <w:szCs w:val="18"/>
          <w:highlight w:val="none"/>
        </w:rPr>
        <w:t>元整。</w:t>
      </w:r>
    </w:p>
    <w:p>
      <w:pPr>
        <w:tabs>
          <w:tab w:val="left" w:pos="498"/>
        </w:tabs>
        <w:spacing w:line="360" w:lineRule="auto"/>
        <w:ind w:firstLine="420" w:firstLineChars="200"/>
        <w:rPr>
          <w:rFonts w:hint="eastAsia" w:ascii="宋体" w:hAnsi="宋体" w:eastAsia="宋体" w:cs="宋体"/>
          <w:bCs w:val="0"/>
          <w:color w:val="auto"/>
          <w:kern w:val="2"/>
          <w:sz w:val="21"/>
          <w:szCs w:val="18"/>
          <w:lang w:val="en-US" w:eastAsia="zh-CN" w:bidi="ar-SA"/>
        </w:rPr>
      </w:pPr>
      <w:r>
        <w:rPr>
          <w:rFonts w:hint="eastAsia" w:ascii="宋体" w:hAnsi="宋体" w:eastAsia="宋体" w:cs="宋体"/>
          <w:color w:val="auto"/>
          <w:kern w:val="2"/>
          <w:sz w:val="21"/>
          <w:szCs w:val="18"/>
          <w:highlight w:val="none"/>
        </w:rPr>
        <w:t>合同签订后，支付合同总价的40%作为预付款，验收合格后支付合同总价的30%，审计后支付剩余工程款。</w:t>
      </w:r>
      <w:r>
        <w:rPr>
          <w:rFonts w:hint="eastAsia" w:ascii="宋体" w:hAnsi="宋体" w:eastAsia="宋体" w:cs="宋体"/>
          <w:color w:val="auto"/>
          <w:sz w:val="21"/>
          <w:szCs w:val="18"/>
          <w:highlight w:val="none"/>
        </w:rPr>
        <w:t>乙方提供全部正式税务发票。</w:t>
      </w:r>
    </w:p>
    <w:p>
      <w:pPr>
        <w:adjustRightInd/>
        <w:snapToGrid/>
        <w:spacing w:line="360" w:lineRule="auto"/>
        <w:ind w:firstLine="0" w:firstLineChars="0"/>
        <w:rPr>
          <w:rFonts w:hint="default" w:ascii="Times New Roman" w:hAnsi="Times New Roman" w:eastAsia="宋体" w:cs="Times New Roman"/>
          <w:color w:val="auto"/>
          <w:sz w:val="24"/>
          <w:szCs w:val="24"/>
        </w:rPr>
      </w:pPr>
      <w:r>
        <w:rPr>
          <w:rFonts w:hint="eastAsia" w:ascii="宋体" w:hAnsi="宋体" w:eastAsia="宋体" w:cs="宋体"/>
          <w:b/>
          <w:color w:val="auto"/>
          <w:sz w:val="24"/>
          <w:szCs w:val="24"/>
        </w:rPr>
        <w:t>十</w:t>
      </w:r>
      <w:r>
        <w:rPr>
          <w:rFonts w:hint="eastAsia" w:ascii="宋体" w:hAnsi="宋体" w:eastAsia="宋体" w:cs="宋体"/>
          <w:b/>
          <w:color w:val="auto"/>
          <w:sz w:val="24"/>
          <w:szCs w:val="24"/>
          <w:lang w:eastAsia="zh-CN"/>
        </w:rPr>
        <w:t>一</w:t>
      </w:r>
      <w:r>
        <w:rPr>
          <w:rFonts w:hint="eastAsia" w:ascii="宋体" w:hAnsi="宋体" w:eastAsia="宋体" w:cs="宋体"/>
          <w:b/>
          <w:color w:val="auto"/>
          <w:sz w:val="24"/>
          <w:szCs w:val="24"/>
        </w:rPr>
        <w:t>、合同订立</w:t>
      </w:r>
      <w:r>
        <w:rPr>
          <w:rFonts w:hint="eastAsia" w:ascii="宋体" w:hAnsi="宋体" w:eastAsia="宋体" w:cs="宋体"/>
          <w:b/>
          <w:bCs/>
          <w:color w:val="auto"/>
          <w:sz w:val="24"/>
          <w:szCs w:val="24"/>
          <w:highlight w:val="none"/>
        </w:rPr>
        <w:t>:</w:t>
      </w:r>
    </w:p>
    <w:p>
      <w:pPr>
        <w:tabs>
          <w:tab w:val="left" w:pos="498"/>
        </w:tabs>
        <w:adjustRightInd/>
        <w:snapToGrid/>
        <w:spacing w:line="360" w:lineRule="auto"/>
        <w:ind w:firstLine="420" w:firstLineChars="200"/>
        <w:rPr>
          <w:rFonts w:hint="eastAsia" w:ascii="宋体" w:hAnsi="宋体" w:eastAsia="宋体" w:cs="宋体"/>
          <w:color w:val="auto"/>
          <w:sz w:val="21"/>
          <w:szCs w:val="18"/>
        </w:rPr>
      </w:pPr>
      <w:r>
        <w:rPr>
          <w:rFonts w:hint="eastAsia" w:ascii="宋体" w:hAnsi="宋体" w:eastAsia="宋体" w:cs="宋体"/>
          <w:color w:val="auto"/>
          <w:sz w:val="21"/>
          <w:szCs w:val="18"/>
        </w:rPr>
        <w:t>1. 订立时间：</w:t>
      </w:r>
      <w:r>
        <w:rPr>
          <w:rFonts w:hint="eastAsia" w:ascii="宋体" w:hAnsi="宋体" w:eastAsia="宋体" w:cs="宋体"/>
          <w:color w:val="auto"/>
          <w:sz w:val="21"/>
          <w:szCs w:val="18"/>
          <w:u w:val="single"/>
        </w:rPr>
        <w:t xml:space="preserve">       </w:t>
      </w:r>
      <w:r>
        <w:rPr>
          <w:rFonts w:hint="eastAsia" w:ascii="宋体" w:hAnsi="宋体" w:eastAsia="宋体" w:cs="宋体"/>
          <w:color w:val="auto"/>
          <w:sz w:val="21"/>
          <w:szCs w:val="18"/>
          <w:u w:val="none"/>
        </w:rPr>
        <w:t xml:space="preserve"> </w:t>
      </w:r>
      <w:r>
        <w:rPr>
          <w:rFonts w:hint="eastAsia" w:ascii="宋体" w:hAnsi="宋体" w:eastAsia="宋体" w:cs="宋体"/>
          <w:color w:val="auto"/>
          <w:sz w:val="21"/>
          <w:szCs w:val="18"/>
        </w:rPr>
        <w:t>年</w:t>
      </w:r>
      <w:r>
        <w:rPr>
          <w:rFonts w:hint="eastAsia" w:ascii="宋体" w:hAnsi="宋体" w:eastAsia="宋体" w:cs="宋体"/>
          <w:color w:val="auto"/>
          <w:sz w:val="21"/>
          <w:szCs w:val="18"/>
          <w:u w:val="single"/>
        </w:rPr>
        <w:t xml:space="preserve">   </w:t>
      </w:r>
      <w:r>
        <w:rPr>
          <w:rFonts w:hint="eastAsia" w:ascii="宋体" w:hAnsi="宋体" w:eastAsia="宋体" w:cs="宋体"/>
          <w:color w:val="auto"/>
          <w:sz w:val="21"/>
          <w:szCs w:val="18"/>
        </w:rPr>
        <w:t>月</w:t>
      </w:r>
      <w:r>
        <w:rPr>
          <w:rFonts w:hint="eastAsia" w:ascii="宋体" w:hAnsi="宋体" w:eastAsia="宋体" w:cs="宋体"/>
          <w:color w:val="auto"/>
          <w:sz w:val="21"/>
          <w:szCs w:val="18"/>
          <w:u w:val="single"/>
        </w:rPr>
        <w:t xml:space="preserve">  </w:t>
      </w:r>
      <w:r>
        <w:rPr>
          <w:rFonts w:hint="eastAsia" w:ascii="宋体" w:hAnsi="宋体" w:eastAsia="宋体" w:cs="宋体"/>
          <w:color w:val="auto"/>
          <w:sz w:val="21"/>
          <w:szCs w:val="18"/>
          <w:u w:val="single"/>
          <w:lang w:val="en-US" w:eastAsia="zh-CN"/>
        </w:rPr>
        <w:t xml:space="preserve"> </w:t>
      </w:r>
      <w:r>
        <w:rPr>
          <w:rFonts w:hint="eastAsia" w:ascii="宋体" w:hAnsi="宋体" w:eastAsia="宋体" w:cs="宋体"/>
          <w:color w:val="auto"/>
          <w:sz w:val="21"/>
          <w:szCs w:val="18"/>
        </w:rPr>
        <w:t>日。</w:t>
      </w:r>
    </w:p>
    <w:p>
      <w:pPr>
        <w:tabs>
          <w:tab w:val="left" w:pos="498"/>
        </w:tabs>
        <w:adjustRightInd/>
        <w:snapToGrid/>
        <w:spacing w:line="360" w:lineRule="auto"/>
        <w:ind w:firstLine="420" w:firstLineChars="200"/>
        <w:rPr>
          <w:rFonts w:hint="eastAsia" w:ascii="宋体" w:hAnsi="宋体" w:eastAsia="宋体" w:cs="宋体"/>
          <w:color w:val="auto"/>
          <w:sz w:val="21"/>
          <w:szCs w:val="18"/>
        </w:rPr>
      </w:pPr>
      <w:r>
        <w:rPr>
          <w:rFonts w:hint="eastAsia" w:ascii="宋体" w:hAnsi="宋体" w:eastAsia="宋体" w:cs="宋体"/>
          <w:color w:val="auto"/>
          <w:sz w:val="21"/>
          <w:szCs w:val="18"/>
        </w:rPr>
        <w:t>2. 订立地点：</w:t>
      </w:r>
      <w:r>
        <w:rPr>
          <w:rFonts w:hint="eastAsia" w:ascii="宋体" w:hAnsi="宋体" w:eastAsia="宋体" w:cs="宋体"/>
          <w:color w:val="auto"/>
          <w:sz w:val="21"/>
          <w:szCs w:val="18"/>
          <w:u w:val="single"/>
        </w:rPr>
        <w:t xml:space="preserve">                      </w:t>
      </w:r>
      <w:r>
        <w:rPr>
          <w:rFonts w:hint="eastAsia" w:ascii="宋体" w:hAnsi="宋体" w:eastAsia="宋体" w:cs="宋体"/>
          <w:color w:val="auto"/>
          <w:sz w:val="21"/>
          <w:szCs w:val="18"/>
          <w:u w:val="single"/>
          <w:lang w:val="en-US" w:eastAsia="zh-CN"/>
        </w:rPr>
        <w:t xml:space="preserve">      </w:t>
      </w:r>
      <w:r>
        <w:rPr>
          <w:rFonts w:hint="eastAsia" w:ascii="宋体" w:hAnsi="宋体" w:eastAsia="宋体" w:cs="宋体"/>
          <w:color w:val="auto"/>
          <w:sz w:val="21"/>
          <w:szCs w:val="18"/>
        </w:rPr>
        <w:t>。</w:t>
      </w:r>
    </w:p>
    <w:p>
      <w:pPr>
        <w:tabs>
          <w:tab w:val="left" w:pos="498"/>
        </w:tabs>
        <w:kinsoku/>
        <w:spacing w:line="360" w:lineRule="auto"/>
        <w:ind w:left="0" w:leftChars="0" w:firstLine="420" w:firstLineChars="200"/>
        <w:rPr>
          <w:rFonts w:hint="eastAsia" w:ascii="宋体" w:hAnsi="宋体" w:eastAsia="宋体" w:cs="宋体"/>
          <w:color w:val="auto"/>
          <w:sz w:val="21"/>
          <w:szCs w:val="18"/>
          <w:lang w:eastAsia="zh-CN"/>
        </w:rPr>
      </w:pPr>
      <w:r>
        <w:rPr>
          <w:rFonts w:hint="eastAsia" w:ascii="宋体" w:hAnsi="宋体" w:eastAsia="宋体" w:cs="宋体"/>
          <w:color w:val="auto"/>
          <w:sz w:val="21"/>
          <w:szCs w:val="18"/>
          <w:lang w:val="en-US" w:eastAsia="zh-CN"/>
        </w:rPr>
        <w:t>3. 合同期限：</w:t>
      </w:r>
      <w:r>
        <w:rPr>
          <w:rFonts w:hint="eastAsia" w:ascii="宋体" w:hAnsi="宋体" w:eastAsia="宋体" w:cs="宋体"/>
          <w:color w:val="auto"/>
          <w:sz w:val="21"/>
          <w:szCs w:val="18"/>
          <w:u w:val="single"/>
        </w:rPr>
        <w:t xml:space="preserve">        </w:t>
      </w:r>
      <w:r>
        <w:rPr>
          <w:rFonts w:hint="eastAsia" w:ascii="宋体" w:hAnsi="宋体" w:eastAsia="宋体" w:cs="宋体"/>
          <w:color w:val="auto"/>
          <w:sz w:val="21"/>
          <w:szCs w:val="18"/>
        </w:rPr>
        <w:t>年</w:t>
      </w:r>
      <w:r>
        <w:rPr>
          <w:rFonts w:hint="eastAsia" w:ascii="宋体" w:hAnsi="宋体" w:eastAsia="宋体" w:cs="宋体"/>
          <w:color w:val="auto"/>
          <w:sz w:val="21"/>
          <w:szCs w:val="18"/>
          <w:u w:val="single"/>
        </w:rPr>
        <w:t xml:space="preserve">   </w:t>
      </w:r>
      <w:r>
        <w:rPr>
          <w:rFonts w:hint="eastAsia" w:ascii="宋体" w:hAnsi="宋体" w:eastAsia="宋体" w:cs="宋体"/>
          <w:color w:val="auto"/>
          <w:sz w:val="21"/>
          <w:szCs w:val="18"/>
        </w:rPr>
        <w:t>月</w:t>
      </w:r>
      <w:r>
        <w:rPr>
          <w:rFonts w:hint="eastAsia" w:ascii="宋体" w:hAnsi="宋体" w:eastAsia="宋体" w:cs="宋体"/>
          <w:color w:val="auto"/>
          <w:sz w:val="21"/>
          <w:szCs w:val="18"/>
          <w:u w:val="single"/>
        </w:rPr>
        <w:t xml:space="preserve">  </w:t>
      </w:r>
      <w:r>
        <w:rPr>
          <w:rFonts w:hint="eastAsia" w:ascii="宋体" w:hAnsi="宋体" w:eastAsia="宋体" w:cs="宋体"/>
          <w:color w:val="auto"/>
          <w:sz w:val="21"/>
          <w:szCs w:val="18"/>
          <w:u w:val="single"/>
          <w:lang w:val="en-US" w:eastAsia="zh-CN"/>
        </w:rPr>
        <w:t xml:space="preserve"> </w:t>
      </w:r>
      <w:r>
        <w:rPr>
          <w:rFonts w:hint="eastAsia" w:ascii="宋体" w:hAnsi="宋体" w:eastAsia="宋体" w:cs="宋体"/>
          <w:color w:val="auto"/>
          <w:sz w:val="21"/>
          <w:szCs w:val="18"/>
        </w:rPr>
        <w:t>日</w:t>
      </w:r>
      <w:r>
        <w:rPr>
          <w:rFonts w:hint="eastAsia" w:ascii="宋体" w:hAnsi="宋体" w:eastAsia="宋体" w:cs="宋体"/>
          <w:color w:val="auto"/>
          <w:sz w:val="21"/>
          <w:szCs w:val="18"/>
          <w:lang w:val="en-US" w:eastAsia="zh-CN"/>
        </w:rPr>
        <w:t>至</w:t>
      </w:r>
      <w:r>
        <w:rPr>
          <w:rFonts w:hint="eastAsia" w:ascii="宋体" w:hAnsi="宋体" w:eastAsia="宋体" w:cs="宋体"/>
          <w:color w:val="auto"/>
          <w:sz w:val="21"/>
          <w:szCs w:val="18"/>
          <w:u w:val="single"/>
        </w:rPr>
        <w:t xml:space="preserve">        </w:t>
      </w:r>
      <w:r>
        <w:rPr>
          <w:rFonts w:hint="eastAsia" w:ascii="宋体" w:hAnsi="宋体" w:eastAsia="宋体" w:cs="宋体"/>
          <w:color w:val="auto"/>
          <w:sz w:val="21"/>
          <w:szCs w:val="18"/>
        </w:rPr>
        <w:t>年</w:t>
      </w:r>
      <w:r>
        <w:rPr>
          <w:rFonts w:hint="eastAsia" w:ascii="宋体" w:hAnsi="宋体" w:eastAsia="宋体" w:cs="宋体"/>
          <w:color w:val="auto"/>
          <w:sz w:val="21"/>
          <w:szCs w:val="18"/>
          <w:u w:val="single"/>
        </w:rPr>
        <w:t xml:space="preserve">   </w:t>
      </w:r>
      <w:r>
        <w:rPr>
          <w:rFonts w:hint="eastAsia" w:ascii="宋体" w:hAnsi="宋体" w:eastAsia="宋体" w:cs="宋体"/>
          <w:color w:val="auto"/>
          <w:sz w:val="21"/>
          <w:szCs w:val="18"/>
        </w:rPr>
        <w:t>月</w:t>
      </w:r>
      <w:r>
        <w:rPr>
          <w:rFonts w:hint="eastAsia" w:ascii="宋体" w:hAnsi="宋体" w:eastAsia="宋体" w:cs="宋体"/>
          <w:color w:val="auto"/>
          <w:sz w:val="21"/>
          <w:szCs w:val="18"/>
          <w:u w:val="single"/>
        </w:rPr>
        <w:t xml:space="preserve">  </w:t>
      </w:r>
      <w:r>
        <w:rPr>
          <w:rFonts w:hint="eastAsia" w:ascii="宋体" w:hAnsi="宋体" w:eastAsia="宋体" w:cs="宋体"/>
          <w:color w:val="auto"/>
          <w:sz w:val="21"/>
          <w:szCs w:val="18"/>
          <w:u w:val="single"/>
          <w:lang w:val="en-US" w:eastAsia="zh-CN"/>
        </w:rPr>
        <w:t xml:space="preserve"> </w:t>
      </w:r>
      <w:r>
        <w:rPr>
          <w:rFonts w:hint="eastAsia" w:ascii="宋体" w:hAnsi="宋体" w:eastAsia="宋体" w:cs="宋体"/>
          <w:color w:val="auto"/>
          <w:sz w:val="21"/>
          <w:szCs w:val="18"/>
        </w:rPr>
        <w:t>日，</w:t>
      </w:r>
      <w:r>
        <w:rPr>
          <w:rFonts w:hint="eastAsia" w:ascii="宋体" w:hAnsi="宋体" w:eastAsia="宋体" w:cs="宋体"/>
          <w:color w:val="auto"/>
          <w:sz w:val="21"/>
          <w:szCs w:val="18"/>
          <w:lang w:eastAsia="zh-CN"/>
        </w:rPr>
        <w:t>服务</w:t>
      </w:r>
      <w:r>
        <w:rPr>
          <w:rFonts w:hint="eastAsia" w:ascii="宋体" w:hAnsi="宋体" w:eastAsia="宋体" w:cs="宋体"/>
          <w:color w:val="auto"/>
          <w:sz w:val="21"/>
          <w:szCs w:val="18"/>
          <w:lang w:val="en-US" w:eastAsia="zh-CN"/>
        </w:rPr>
        <w:t>期</w:t>
      </w:r>
      <w:r>
        <w:rPr>
          <w:rFonts w:hint="eastAsia" w:ascii="宋体" w:hAnsi="宋体" w:eastAsia="宋体" w:cs="宋体"/>
          <w:color w:val="auto"/>
          <w:sz w:val="21"/>
          <w:szCs w:val="18"/>
        </w:rPr>
        <w:t>为</w:t>
      </w:r>
      <w:r>
        <w:rPr>
          <w:rFonts w:hint="eastAsia" w:ascii="宋体" w:hAnsi="宋体" w:eastAsia="宋体" w:cs="宋体"/>
          <w:color w:val="auto"/>
          <w:sz w:val="21"/>
          <w:szCs w:val="18"/>
          <w:u w:val="single"/>
        </w:rPr>
        <w:t xml:space="preserve"> </w:t>
      </w:r>
      <w:r>
        <w:rPr>
          <w:rFonts w:hint="eastAsia" w:ascii="宋体" w:hAnsi="宋体" w:eastAsia="宋体" w:cs="宋体"/>
          <w:color w:val="auto"/>
          <w:sz w:val="21"/>
          <w:szCs w:val="18"/>
          <w:u w:val="single"/>
          <w:lang w:val="en-US" w:eastAsia="zh-CN"/>
        </w:rPr>
        <w:t xml:space="preserve">   </w:t>
      </w:r>
      <w:r>
        <w:rPr>
          <w:rFonts w:hint="eastAsia" w:ascii="宋体" w:hAnsi="宋体" w:eastAsia="宋体" w:cs="宋体"/>
          <w:color w:val="auto"/>
          <w:sz w:val="21"/>
          <w:szCs w:val="18"/>
        </w:rPr>
        <w:t>天。。</w:t>
      </w:r>
    </w:p>
    <w:p>
      <w:pPr>
        <w:tabs>
          <w:tab w:val="left" w:pos="498"/>
        </w:tabs>
        <w:kinsoku/>
        <w:spacing w:line="360" w:lineRule="auto"/>
        <w:ind w:left="0" w:leftChars="0" w:firstLine="420" w:firstLineChars="200"/>
        <w:rPr>
          <w:rFonts w:hint="eastAsia" w:ascii="宋体" w:hAnsi="宋体" w:eastAsia="宋体" w:cs="宋体"/>
          <w:color w:val="auto"/>
          <w:sz w:val="21"/>
          <w:szCs w:val="18"/>
        </w:rPr>
      </w:pPr>
      <w:r>
        <w:rPr>
          <w:rFonts w:hint="eastAsia" w:ascii="宋体" w:hAnsi="宋体" w:eastAsia="宋体" w:cs="宋体"/>
          <w:color w:val="auto"/>
          <w:sz w:val="21"/>
          <w:szCs w:val="18"/>
          <w:lang w:val="en-US" w:eastAsia="zh-CN"/>
        </w:rPr>
        <w:t xml:space="preserve">    </w:t>
      </w:r>
      <w:r>
        <w:rPr>
          <w:rFonts w:hint="eastAsia" w:ascii="宋体" w:hAnsi="宋体" w:eastAsia="宋体" w:cs="宋体"/>
          <w:color w:val="auto"/>
          <w:sz w:val="21"/>
          <w:szCs w:val="18"/>
          <w:lang w:eastAsia="zh-CN"/>
        </w:rPr>
        <w:t>4</w:t>
      </w:r>
      <w:r>
        <w:rPr>
          <w:rFonts w:hint="eastAsia" w:ascii="宋体" w:hAnsi="宋体" w:eastAsia="宋体" w:cs="宋体"/>
          <w:color w:val="auto"/>
          <w:sz w:val="21"/>
          <w:szCs w:val="18"/>
          <w:lang w:val="en-US" w:eastAsia="zh-CN"/>
        </w:rPr>
        <w:t>. 本合同一式</w:t>
      </w:r>
      <w:r>
        <w:rPr>
          <w:rFonts w:hint="eastAsia" w:ascii="宋体" w:hAnsi="宋体" w:eastAsia="宋体" w:cs="宋体"/>
          <w:color w:val="auto"/>
          <w:sz w:val="21"/>
          <w:szCs w:val="18"/>
          <w:u w:val="single"/>
          <w:lang w:val="en-US" w:eastAsia="zh-CN"/>
        </w:rPr>
        <w:t xml:space="preserve"> 肆 </w:t>
      </w:r>
      <w:r>
        <w:rPr>
          <w:rFonts w:hint="eastAsia" w:ascii="宋体" w:hAnsi="宋体" w:eastAsia="宋体" w:cs="宋体"/>
          <w:color w:val="auto"/>
          <w:sz w:val="21"/>
          <w:szCs w:val="18"/>
          <w:lang w:val="en-US" w:eastAsia="zh-CN"/>
        </w:rPr>
        <w:t>份，双方各执</w:t>
      </w:r>
      <w:r>
        <w:rPr>
          <w:rFonts w:hint="eastAsia" w:ascii="宋体" w:hAnsi="宋体" w:eastAsia="宋体" w:cs="宋体"/>
          <w:color w:val="auto"/>
          <w:sz w:val="21"/>
          <w:szCs w:val="18"/>
          <w:u w:val="single"/>
          <w:lang w:val="en-US" w:eastAsia="zh-CN"/>
        </w:rPr>
        <w:t xml:space="preserve"> 壹 </w:t>
      </w:r>
      <w:r>
        <w:rPr>
          <w:rFonts w:hint="eastAsia" w:ascii="宋体" w:hAnsi="宋体" w:eastAsia="宋体" w:cs="宋体"/>
          <w:color w:val="auto"/>
          <w:sz w:val="21"/>
          <w:szCs w:val="18"/>
          <w:lang w:val="en-US" w:eastAsia="zh-CN"/>
        </w:rPr>
        <w:t>正</w:t>
      </w:r>
      <w:r>
        <w:rPr>
          <w:rFonts w:hint="eastAsia" w:ascii="宋体" w:hAnsi="宋体" w:eastAsia="宋体" w:cs="宋体"/>
          <w:color w:val="auto"/>
          <w:sz w:val="21"/>
          <w:szCs w:val="18"/>
          <w:u w:val="single"/>
          <w:lang w:val="en-US" w:eastAsia="zh-CN"/>
        </w:rPr>
        <w:t xml:space="preserve"> 壹 </w:t>
      </w:r>
      <w:r>
        <w:rPr>
          <w:rFonts w:hint="eastAsia" w:ascii="宋体" w:hAnsi="宋体" w:eastAsia="宋体" w:cs="宋体"/>
          <w:color w:val="auto"/>
          <w:sz w:val="21"/>
          <w:szCs w:val="18"/>
          <w:lang w:val="en-US" w:eastAsia="zh-CN"/>
        </w:rPr>
        <w:t>副，甲、乙双方代表签字或盖章后生效。款项结清后本合同自行终止。</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4768" w:type="dxa"/>
            <w:tcBorders>
              <w:top w:val="nil"/>
              <w:left w:val="nil"/>
              <w:bottom w:val="nil"/>
              <w:right w:val="nil"/>
            </w:tcBorders>
            <w:noWrap w:val="0"/>
            <w:vAlign w:val="top"/>
          </w:tcPr>
          <w:p>
            <w:pPr>
              <w:spacing w:line="480" w:lineRule="auto"/>
              <w:jc w:val="both"/>
              <w:rPr>
                <w:rFonts w:hint="eastAsia"/>
                <w:sz w:val="21"/>
                <w:szCs w:val="21"/>
                <w:vertAlign w:val="baseline"/>
                <w:lang w:val="en-US" w:eastAsia="zh-CN"/>
              </w:rPr>
            </w:pPr>
            <w:r>
              <w:rPr>
                <w:rFonts w:hint="eastAsia"/>
                <w:sz w:val="21"/>
                <w:szCs w:val="21"/>
                <w:vertAlign w:val="baseline"/>
                <w:lang w:val="en-US" w:eastAsia="zh-CN"/>
              </w:rPr>
              <w:t xml:space="preserve">采购人：（盖章） </w:t>
            </w:r>
          </w:p>
          <w:p>
            <w:pPr>
              <w:pStyle w:val="2"/>
              <w:rPr>
                <w:rFonts w:hint="eastAsia"/>
                <w:lang w:val="en-US" w:eastAsia="zh-CN"/>
              </w:rPr>
            </w:pPr>
          </w:p>
        </w:tc>
        <w:tc>
          <w:tcPr>
            <w:tcW w:w="4768" w:type="dxa"/>
            <w:tcBorders>
              <w:top w:val="nil"/>
              <w:left w:val="nil"/>
              <w:bottom w:val="nil"/>
              <w:right w:val="nil"/>
            </w:tcBorders>
            <w:noWrap w:val="0"/>
            <w:vAlign w:val="top"/>
          </w:tcPr>
          <w:p>
            <w:pPr>
              <w:spacing w:line="480" w:lineRule="auto"/>
              <w:jc w:val="both"/>
              <w:rPr>
                <w:rFonts w:hint="eastAsia"/>
                <w:sz w:val="21"/>
                <w:szCs w:val="21"/>
                <w:vertAlign w:val="baseline"/>
                <w:lang w:val="en-US" w:eastAsia="zh-CN"/>
              </w:rPr>
            </w:pPr>
            <w:r>
              <w:rPr>
                <w:rFonts w:hint="eastAsia"/>
                <w:sz w:val="21"/>
                <w:szCs w:val="21"/>
                <w:vertAlign w:val="baseline"/>
                <w:lang w:val="en-US" w:eastAsia="zh-CN"/>
              </w:rPr>
              <w:t xml:space="preserve">供应商：（盖章）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4768" w:type="dxa"/>
            <w:tcBorders>
              <w:top w:val="nil"/>
              <w:left w:val="nil"/>
              <w:bottom w:val="nil"/>
              <w:right w:val="nil"/>
            </w:tcBorders>
            <w:noWrap w:val="0"/>
            <w:vAlign w:val="top"/>
          </w:tcPr>
          <w:p>
            <w:pPr>
              <w:spacing w:line="480" w:lineRule="auto"/>
              <w:jc w:val="both"/>
              <w:rPr>
                <w:rFonts w:hint="eastAsia"/>
                <w:sz w:val="21"/>
                <w:szCs w:val="21"/>
                <w:lang w:val="en-US" w:eastAsia="zh-CN"/>
              </w:rPr>
            </w:pPr>
            <w:r>
              <w:rPr>
                <w:rFonts w:hint="eastAsia"/>
                <w:sz w:val="21"/>
                <w:szCs w:val="21"/>
                <w:lang w:val="en-US" w:eastAsia="zh-CN"/>
              </w:rPr>
              <w:t>法定代表人（签字或盖章）：</w:t>
            </w:r>
          </w:p>
          <w:p>
            <w:pPr>
              <w:spacing w:line="480" w:lineRule="auto"/>
              <w:jc w:val="both"/>
              <w:rPr>
                <w:rFonts w:hint="eastAsia"/>
                <w:sz w:val="21"/>
                <w:szCs w:val="21"/>
                <w:vertAlign w:val="baseline"/>
                <w:lang w:val="en-US" w:eastAsia="zh-CN"/>
              </w:rPr>
            </w:pPr>
            <w:r>
              <w:rPr>
                <w:rFonts w:hint="eastAsia"/>
                <w:sz w:val="21"/>
                <w:szCs w:val="21"/>
                <w:lang w:val="en-US" w:eastAsia="zh-CN"/>
              </w:rPr>
              <w:t xml:space="preserve"> </w:t>
            </w:r>
          </w:p>
        </w:tc>
        <w:tc>
          <w:tcPr>
            <w:tcW w:w="4768" w:type="dxa"/>
            <w:tcBorders>
              <w:top w:val="nil"/>
              <w:left w:val="nil"/>
              <w:bottom w:val="nil"/>
              <w:right w:val="nil"/>
            </w:tcBorders>
            <w:noWrap w:val="0"/>
            <w:vAlign w:val="top"/>
          </w:tcPr>
          <w:p>
            <w:pPr>
              <w:spacing w:line="480" w:lineRule="auto"/>
              <w:jc w:val="both"/>
              <w:rPr>
                <w:rFonts w:hint="eastAsia"/>
                <w:sz w:val="21"/>
                <w:szCs w:val="21"/>
                <w:vertAlign w:val="baseline"/>
                <w:lang w:val="en-US" w:eastAsia="zh-CN"/>
              </w:rPr>
            </w:pPr>
            <w:r>
              <w:rPr>
                <w:rFonts w:hint="eastAsia"/>
                <w:sz w:val="21"/>
                <w:szCs w:val="21"/>
                <w:lang w:val="en-US" w:eastAsia="zh-CN"/>
              </w:rPr>
              <w:t xml:space="preserve">法定代表人（签字或盖章）：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68" w:type="dxa"/>
            <w:tcBorders>
              <w:top w:val="nil"/>
              <w:left w:val="nil"/>
              <w:bottom w:val="nil"/>
              <w:right w:val="nil"/>
            </w:tcBorders>
            <w:noWrap w:val="0"/>
            <w:vAlign w:val="top"/>
          </w:tcPr>
          <w:p>
            <w:pPr>
              <w:spacing w:line="480" w:lineRule="auto"/>
              <w:jc w:val="both"/>
              <w:rPr>
                <w:rFonts w:hint="eastAsia"/>
                <w:sz w:val="21"/>
                <w:szCs w:val="21"/>
                <w:vertAlign w:val="baseline"/>
                <w:lang w:val="en-US" w:eastAsia="zh-CN"/>
              </w:rPr>
            </w:pPr>
            <w:r>
              <w:rPr>
                <w:rFonts w:hint="eastAsia"/>
                <w:sz w:val="21"/>
                <w:szCs w:val="21"/>
                <w:lang w:val="en-US" w:eastAsia="zh-CN"/>
              </w:rPr>
              <w:t>授权代理人（签字或盖章）：</w:t>
            </w:r>
          </w:p>
        </w:tc>
        <w:tc>
          <w:tcPr>
            <w:tcW w:w="4768" w:type="dxa"/>
            <w:tcBorders>
              <w:top w:val="nil"/>
              <w:left w:val="nil"/>
              <w:bottom w:val="nil"/>
              <w:right w:val="nil"/>
            </w:tcBorders>
            <w:noWrap w:val="0"/>
            <w:vAlign w:val="top"/>
          </w:tcPr>
          <w:p>
            <w:pPr>
              <w:spacing w:line="480" w:lineRule="auto"/>
              <w:jc w:val="both"/>
              <w:rPr>
                <w:rFonts w:hint="eastAsia"/>
                <w:sz w:val="21"/>
                <w:szCs w:val="21"/>
                <w:vertAlign w:val="baseline"/>
                <w:lang w:val="en-US" w:eastAsia="zh-CN"/>
              </w:rPr>
            </w:pPr>
            <w:r>
              <w:rPr>
                <w:rFonts w:hint="eastAsia"/>
                <w:sz w:val="21"/>
                <w:szCs w:val="21"/>
                <w:lang w:val="en-US" w:eastAsia="zh-CN"/>
              </w:rPr>
              <w:t xml:space="preserve">授权代理人（签字或盖章）：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68" w:type="dxa"/>
            <w:tcBorders>
              <w:top w:val="nil"/>
              <w:left w:val="nil"/>
              <w:bottom w:val="nil"/>
              <w:right w:val="nil"/>
            </w:tcBorders>
            <w:noWrap w:val="0"/>
            <w:vAlign w:val="top"/>
          </w:tcPr>
          <w:p>
            <w:pPr>
              <w:spacing w:line="480" w:lineRule="auto"/>
              <w:jc w:val="both"/>
              <w:rPr>
                <w:rFonts w:hint="eastAsia"/>
                <w:sz w:val="21"/>
                <w:szCs w:val="21"/>
                <w:vertAlign w:val="baseline"/>
                <w:lang w:val="en-US" w:eastAsia="zh-CN"/>
              </w:rPr>
            </w:pPr>
            <w:r>
              <w:rPr>
                <w:rFonts w:hint="eastAsia"/>
                <w:sz w:val="21"/>
                <w:szCs w:val="21"/>
                <w:lang w:val="en-US" w:eastAsia="zh-CN"/>
              </w:rPr>
              <w:t>单位地址：</w:t>
            </w:r>
          </w:p>
        </w:tc>
        <w:tc>
          <w:tcPr>
            <w:tcW w:w="4768" w:type="dxa"/>
            <w:tcBorders>
              <w:top w:val="nil"/>
              <w:left w:val="nil"/>
              <w:bottom w:val="nil"/>
              <w:right w:val="nil"/>
            </w:tcBorders>
            <w:noWrap w:val="0"/>
            <w:vAlign w:val="top"/>
          </w:tcPr>
          <w:p>
            <w:pPr>
              <w:spacing w:line="480" w:lineRule="auto"/>
              <w:jc w:val="both"/>
              <w:rPr>
                <w:rFonts w:hint="default"/>
                <w:sz w:val="21"/>
                <w:szCs w:val="21"/>
                <w:vertAlign w:val="baseline"/>
                <w:lang w:val="en-US" w:eastAsia="zh-CN"/>
              </w:rPr>
            </w:pPr>
            <w:r>
              <w:rPr>
                <w:rFonts w:hint="eastAsia"/>
                <w:sz w:val="21"/>
                <w:szCs w:val="21"/>
                <w:lang w:val="en-US" w:eastAsia="zh-CN"/>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68" w:type="dxa"/>
            <w:tcBorders>
              <w:top w:val="nil"/>
              <w:left w:val="nil"/>
              <w:bottom w:val="nil"/>
              <w:right w:val="nil"/>
            </w:tcBorders>
            <w:noWrap w:val="0"/>
            <w:vAlign w:val="top"/>
          </w:tcPr>
          <w:p>
            <w:pPr>
              <w:spacing w:line="480" w:lineRule="auto"/>
              <w:jc w:val="both"/>
              <w:rPr>
                <w:rFonts w:hint="eastAsia"/>
                <w:sz w:val="21"/>
                <w:szCs w:val="21"/>
                <w:lang w:val="en-US" w:eastAsia="zh-CN"/>
              </w:rPr>
            </w:pPr>
          </w:p>
        </w:tc>
        <w:tc>
          <w:tcPr>
            <w:tcW w:w="4768" w:type="dxa"/>
            <w:tcBorders>
              <w:top w:val="nil"/>
              <w:left w:val="nil"/>
              <w:bottom w:val="nil"/>
              <w:right w:val="nil"/>
            </w:tcBorders>
            <w:noWrap w:val="0"/>
            <w:vAlign w:val="top"/>
          </w:tcPr>
          <w:p>
            <w:pPr>
              <w:spacing w:line="480" w:lineRule="auto"/>
              <w:jc w:val="both"/>
              <w:rPr>
                <w:rFonts w:hint="eastAsia"/>
                <w:sz w:val="21"/>
                <w:szCs w:val="21"/>
                <w:lang w:val="en-US" w:eastAsia="zh-CN"/>
              </w:rPr>
            </w:pPr>
            <w:r>
              <w:rPr>
                <w:rFonts w:hint="eastAsia" w:ascii="宋体" w:hAnsi="宋体" w:eastAsia="宋体" w:cs="宋体"/>
                <w:sz w:val="21"/>
                <w:szCs w:val="21"/>
                <w:u w:val="none"/>
                <w:lang w:val="en-US" w:eastAsia="zh-CN"/>
              </w:rPr>
              <w:t>纳</w:t>
            </w:r>
            <w:r>
              <w:rPr>
                <w:rFonts w:hint="eastAsia" w:ascii="宋体" w:hAnsi="宋体" w:cs="宋体"/>
                <w:sz w:val="21"/>
                <w:szCs w:val="21"/>
                <w:u w:val="none"/>
                <w:lang w:val="en-US" w:eastAsia="zh-CN"/>
              </w:rPr>
              <w:t>税</w:t>
            </w:r>
            <w:r>
              <w:rPr>
                <w:rFonts w:hint="eastAsia" w:ascii="宋体" w:hAnsi="宋体" w:eastAsia="宋体" w:cs="宋体"/>
                <w:sz w:val="21"/>
                <w:szCs w:val="21"/>
                <w:u w:val="none"/>
                <w:lang w:val="en-US" w:eastAsia="zh-CN"/>
              </w:rPr>
              <w:t>人识别号</w:t>
            </w:r>
            <w:r>
              <w:rPr>
                <w:rFonts w:hint="eastAsia"/>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68" w:type="dxa"/>
            <w:tcBorders>
              <w:top w:val="nil"/>
              <w:left w:val="nil"/>
              <w:bottom w:val="nil"/>
              <w:right w:val="nil"/>
            </w:tcBorders>
            <w:noWrap w:val="0"/>
            <w:vAlign w:val="top"/>
          </w:tcPr>
          <w:p>
            <w:pPr>
              <w:spacing w:line="480" w:lineRule="auto"/>
              <w:jc w:val="both"/>
              <w:rPr>
                <w:rFonts w:hint="eastAsia"/>
                <w:sz w:val="21"/>
                <w:szCs w:val="21"/>
                <w:vertAlign w:val="baseline"/>
                <w:lang w:val="en-US" w:eastAsia="zh-CN"/>
              </w:rPr>
            </w:pPr>
            <w:r>
              <w:rPr>
                <w:rFonts w:hint="eastAsia"/>
                <w:sz w:val="21"/>
                <w:szCs w:val="21"/>
                <w:lang w:val="en-US" w:eastAsia="zh-CN"/>
              </w:rPr>
              <w:t>开户银行：</w:t>
            </w:r>
          </w:p>
        </w:tc>
        <w:tc>
          <w:tcPr>
            <w:tcW w:w="4768" w:type="dxa"/>
            <w:tcBorders>
              <w:top w:val="nil"/>
              <w:left w:val="nil"/>
              <w:bottom w:val="nil"/>
              <w:right w:val="nil"/>
            </w:tcBorders>
            <w:noWrap w:val="0"/>
            <w:vAlign w:val="top"/>
          </w:tcPr>
          <w:p>
            <w:pPr>
              <w:spacing w:line="480" w:lineRule="auto"/>
              <w:jc w:val="both"/>
              <w:rPr>
                <w:rFonts w:hint="eastAsia"/>
                <w:sz w:val="21"/>
                <w:szCs w:val="21"/>
                <w:vertAlign w:val="baseline"/>
                <w:lang w:val="en-US" w:eastAsia="zh-CN"/>
              </w:rPr>
            </w:pPr>
            <w:r>
              <w:rPr>
                <w:rFonts w:hint="eastAsia"/>
                <w:sz w:val="21"/>
                <w:szCs w:val="21"/>
                <w:lang w:val="en-US" w:eastAsia="zh-CN"/>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68" w:type="dxa"/>
            <w:tcBorders>
              <w:top w:val="nil"/>
              <w:left w:val="nil"/>
              <w:bottom w:val="nil"/>
              <w:right w:val="nil"/>
            </w:tcBorders>
            <w:noWrap w:val="0"/>
            <w:vAlign w:val="top"/>
          </w:tcPr>
          <w:p>
            <w:pPr>
              <w:spacing w:line="480" w:lineRule="auto"/>
              <w:jc w:val="both"/>
              <w:rPr>
                <w:rFonts w:hint="eastAsia"/>
                <w:sz w:val="21"/>
                <w:szCs w:val="21"/>
                <w:vertAlign w:val="baseline"/>
                <w:lang w:val="en-US" w:eastAsia="zh-CN"/>
              </w:rPr>
            </w:pPr>
            <w:r>
              <w:rPr>
                <w:rFonts w:hint="eastAsia"/>
                <w:sz w:val="21"/>
                <w:szCs w:val="21"/>
                <w:lang w:val="en-US" w:eastAsia="zh-CN"/>
              </w:rPr>
              <w:t xml:space="preserve">账    号： </w:t>
            </w:r>
          </w:p>
        </w:tc>
        <w:tc>
          <w:tcPr>
            <w:tcW w:w="4768" w:type="dxa"/>
            <w:tcBorders>
              <w:top w:val="nil"/>
              <w:left w:val="nil"/>
              <w:bottom w:val="nil"/>
              <w:right w:val="nil"/>
            </w:tcBorders>
            <w:noWrap w:val="0"/>
            <w:vAlign w:val="top"/>
          </w:tcPr>
          <w:p>
            <w:pPr>
              <w:spacing w:line="480" w:lineRule="auto"/>
              <w:jc w:val="both"/>
              <w:rPr>
                <w:rFonts w:hint="eastAsia"/>
                <w:sz w:val="21"/>
                <w:szCs w:val="21"/>
                <w:vertAlign w:val="baseline"/>
                <w:lang w:val="en-US" w:eastAsia="zh-CN"/>
              </w:rPr>
            </w:pPr>
            <w:r>
              <w:rPr>
                <w:rFonts w:hint="eastAsia"/>
                <w:sz w:val="21"/>
                <w:szCs w:val="21"/>
                <w:lang w:val="en-US" w:eastAsia="zh-CN"/>
              </w:rPr>
              <w:t>账    号：</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0ZWZlNDI5YzJhZTcxNDI0ZDIyMWUxZjE2N2FjNDUifQ=="/>
  </w:docVars>
  <w:rsids>
    <w:rsidRoot w:val="00000000"/>
    <w:rsid w:val="007A3406"/>
    <w:rsid w:val="12CC04EE"/>
    <w:rsid w:val="12E017EF"/>
    <w:rsid w:val="1626268F"/>
    <w:rsid w:val="21681D2D"/>
    <w:rsid w:val="26112165"/>
    <w:rsid w:val="2A1E4130"/>
    <w:rsid w:val="333077D1"/>
    <w:rsid w:val="33B421B0"/>
    <w:rsid w:val="48C52312"/>
    <w:rsid w:val="6808604B"/>
    <w:rsid w:val="78CF6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left"/>
    </w:pPr>
    <w:rPr>
      <w:rFonts w:ascii="Times New Roman" w:hAnsi="Times New Roman" w:eastAsia="宋体" w:cs="Times New Roman"/>
      <w:kern w:val="2"/>
      <w:sz w:val="24"/>
      <w:szCs w:val="22"/>
      <w:lang w:val="en-US" w:eastAsia="zh-CN" w:bidi="ar-SA"/>
    </w:rPr>
  </w:style>
  <w:style w:type="paragraph" w:styleId="3">
    <w:name w:val="heading 4"/>
    <w:basedOn w:val="1"/>
    <w:next w:val="1"/>
    <w:unhideWhenUsed/>
    <w:qFormat/>
    <w:uiPriority w:val="9"/>
    <w:pPr>
      <w:keepNext/>
      <w:keepLines/>
      <w:spacing w:before="280" w:after="290" w:line="376" w:lineRule="auto"/>
      <w:outlineLvl w:val="3"/>
    </w:pPr>
    <w:rPr>
      <w:rFonts w:ascii="Calibri Light" w:hAnsi="Calibri Light" w:eastAsia="宋体" w:cs="Times New Roman"/>
      <w:b/>
      <w:bCs/>
      <w:sz w:val="28"/>
      <w:szCs w:val="28"/>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firstLineChars="200"/>
    </w:pPr>
  </w:style>
  <w:style w:type="paragraph" w:styleId="4">
    <w:name w:val="toc 4"/>
    <w:basedOn w:val="1"/>
    <w:next w:val="1"/>
    <w:qFormat/>
    <w:uiPriority w:val="0"/>
    <w:pPr>
      <w:ind w:left="63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2390</Words>
  <Characters>2498</Characters>
  <Lines>0</Lines>
  <Paragraphs>0</Paragraphs>
  <TotalTime>5</TotalTime>
  <ScaleCrop>false</ScaleCrop>
  <LinksUpToDate>false</LinksUpToDate>
  <CharactersWithSpaces>2838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2026-03-11T02:48:00Z</dcterms:created>
  <dc:creator>Administrator</dc:creator>
  <cp:lastModifiedBy>y，</cp:lastModifiedBy>
  <dcterms:modified xsi:type="dcterms:W3CDTF">2026-03-31T07:32:02Z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TemplateDocerSaveRecord">
    <vt:lpwstr>eyJoZGlkIjoiNTBlMGRmZWQwYzFmYjE1NWJjY2JiYzUxN2E0NjIyNDciLCJ1c2VySWQiOiI3MDY4MDcyMDMifQ==</vt:lpwstr>
  </property>
  <property fmtid="{D5CDD505-2E9C-101B-9397-08002B2CF9AE}" pid="4" name="ICV">
    <vt:lpwstr>1E8A207D21C74EE9858D7DD0D7E690F9_12</vt:lpwstr>
  </property>
</Properties>
</file>