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版本号：BY2026-ZB-11320260416001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蒲城县房地一体发证工作缮证、发证工作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BY2026-ZB-113</w:t>
      </w:r>
      <w:r>
        <w:br/>
      </w:r>
      <w:r>
        <w:br/>
      </w:r>
      <w:r>
        <w:br/>
      </w:r>
    </w:p>
    <w:p>
      <w:pPr>
        <w:pStyle w:val="null3"/>
        <w:jc w:val="center"/>
        <w:outlineLvl w:val="2"/>
      </w:pPr>
      <w:r>
        <w:rPr>
          <w:rFonts w:ascii="仿宋_GB2312" w:hAnsi="仿宋_GB2312" w:cs="仿宋_GB2312" w:eastAsia="仿宋_GB2312"/>
          <w:sz w:val="28"/>
          <w:b/>
        </w:rPr>
        <w:t>蒲城县自然资源局</w:t>
      </w:r>
    </w:p>
    <w:p>
      <w:pPr>
        <w:pStyle w:val="null3"/>
        <w:jc w:val="center"/>
        <w:outlineLvl w:val="2"/>
      </w:pPr>
      <w:r>
        <w:rPr>
          <w:rFonts w:ascii="仿宋_GB2312" w:hAnsi="仿宋_GB2312" w:cs="仿宋_GB2312" w:eastAsia="仿宋_GB2312"/>
          <w:sz w:val="28"/>
          <w:b/>
        </w:rPr>
        <w:t>陕西博源招标服务有限公司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陕西博源招标服务有限公司</w:t>
      </w:r>
      <w:r>
        <w:rPr>
          <w:rFonts w:ascii="仿宋_GB2312" w:hAnsi="仿宋_GB2312" w:cs="仿宋_GB2312" w:eastAsia="仿宋_GB2312"/>
        </w:rPr>
        <w:t>（以下简称“代理机构”）受</w:t>
      </w:r>
      <w:r>
        <w:rPr>
          <w:rFonts w:ascii="仿宋_GB2312" w:hAnsi="仿宋_GB2312" w:cs="仿宋_GB2312" w:eastAsia="仿宋_GB2312"/>
        </w:rPr>
        <w:t>蒲城县自然资源局</w:t>
      </w:r>
      <w:r>
        <w:rPr>
          <w:rFonts w:ascii="仿宋_GB2312" w:hAnsi="仿宋_GB2312" w:cs="仿宋_GB2312" w:eastAsia="仿宋_GB2312"/>
        </w:rPr>
        <w:t>委托，拟对</w:t>
      </w:r>
      <w:r>
        <w:rPr>
          <w:rFonts w:ascii="仿宋_GB2312" w:hAnsi="仿宋_GB2312" w:cs="仿宋_GB2312" w:eastAsia="仿宋_GB2312"/>
        </w:rPr>
        <w:t>蒲城县房地一体发证工作缮证、发证工作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BY2026-ZB-113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蒲城县房地一体发证工作缮证、发证工作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县房地一体发证工作缮证、发证工作主要涉及的有奉先街道、紫荆街道2个街道和尧山镇、兴镇、桥陵镇、苏坊镇、荆姚镇、党睦镇、陈庄镇、龙阳镇、龙池镇、孙镇、椿林镇、永丰镇、洛滨镇、罕井镇、高阳镇15个镇，土地面积总面积1583.58平方千米，涉及宅基地及集体建设用地约95890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采购包1（蒲城县房地一体发证工作缮证、发证工作）：属于专门面向中小企业采购。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1、供应商特定资格要求：法定代表人直接参加投标的提供法定代表人证明及其身份证；授权代表参与投标的提供法定代表人授权书（附法定代表人及授权代表身份证）；非法人单位参照执行。</w:t>
      </w:r>
    </w:p>
    <w:p>
      <w:pPr>
        <w:pStyle w:val="null3"/>
      </w:pPr>
      <w:r>
        <w:rPr>
          <w:rFonts w:ascii="仿宋_GB2312" w:hAnsi="仿宋_GB2312" w:cs="仿宋_GB2312" w:eastAsia="仿宋_GB2312"/>
        </w:rPr>
        <w:t>2、供应商特定资格要求：投标人须具有测绘甲级资质（专业范围包含：界线与不动产测绘）。</w:t>
      </w:r>
    </w:p>
    <w:p>
      <w:pPr>
        <w:pStyle w:val="null3"/>
      </w:pPr>
      <w:r>
        <w:rPr>
          <w:rFonts w:ascii="仿宋_GB2312" w:hAnsi="仿宋_GB2312" w:cs="仿宋_GB2312" w:eastAsia="仿宋_GB2312"/>
        </w:rPr>
        <w:t>3、供应商特定资格要求：未被列入“信用中国”及“中国政府采购网”失信行为记录。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陕西省渭南市蒲城县红旗路东段9号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李志成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0913-7206803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陕西博源招标服务有限公司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西安市碑林区环城南路西段45号时代诺利达B区6楼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来妮子、张栋栋、王洛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029-68610892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开户名称：陕西博源招标服务有限公司</w:t>
            </w:r>
          </w:p>
          <w:p>
            <w:pPr>
              <w:pStyle w:val="null3"/>
            </w:pPr>
            <w:r>
              <w:rPr>
                <w:rFonts w:ascii="仿宋_GB2312" w:hAnsi="仿宋_GB2312" w:cs="仿宋_GB2312" w:eastAsia="仿宋_GB2312"/>
              </w:rPr>
              <w:t>开户银行：中国银行西安北大街支行营业部（联行号：104791005103）</w:t>
            </w:r>
          </w:p>
          <w:p>
            <w:pPr>
              <w:pStyle w:val="null3"/>
            </w:pPr>
            <w:r>
              <w:rPr>
                <w:rFonts w:ascii="仿宋_GB2312" w:hAnsi="仿宋_GB2312" w:cs="仿宋_GB2312" w:eastAsia="仿宋_GB2312"/>
              </w:rPr>
              <w:t>银行账号：103316877767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国家发展和改革委员会办公厅关于招标代理服务收费有关问题的通知》（发改办价格〔2003〕857号）及（发改办价格〔2011〕534号）规定服务类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蒲城县自然资源局</w:t>
      </w:r>
      <w:r>
        <w:rPr>
          <w:rFonts w:ascii="仿宋_GB2312" w:hAnsi="仿宋_GB2312" w:cs="仿宋_GB2312" w:eastAsia="仿宋_GB2312"/>
        </w:rPr>
        <w:t>和</w:t>
      </w:r>
      <w:r>
        <w:rPr>
          <w:rFonts w:ascii="仿宋_GB2312" w:hAnsi="仿宋_GB2312" w:cs="仿宋_GB2312" w:eastAsia="仿宋_GB2312"/>
        </w:rPr>
        <w:t>陕西博源招标服务有限公司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陕西博源招标服务有限公司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陕西博源招标服务有限公司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具体标准：1）数据库成果一次性通过陕西省自然资源厅不动产登记数据汇交检查，并取得汇交通知书或入库截图；2）缮证（证书打印）内容与登记信息一致，错误率不超过千分之一（以甲方抽查1000本为样本）；3）所有成果资料完整、规范，符合不动产登记档案管理要求。 2、验收程序：1）乙方完成全部工作后，提交书面验收申请及全套成果资料；2）甲方在收到申请后30日内组织验收。3、验收依据：招标文件、投标文件、合同文本、省市相关标准及规范。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陕西博源招标服务有限公司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陕西博源招标服务有限公司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陕西博源招标服务有限公司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联系人：来妮子</w:t>
      </w:r>
    </w:p>
    <w:p>
      <w:pPr>
        <w:pStyle w:val="null3"/>
      </w:pPr>
      <w:r>
        <w:rPr>
          <w:rFonts w:ascii="仿宋_GB2312" w:hAnsi="仿宋_GB2312" w:cs="仿宋_GB2312" w:eastAsia="仿宋_GB2312"/>
        </w:rPr>
        <w:t>联系电话：029-68610892</w:t>
      </w:r>
    </w:p>
    <w:p>
      <w:pPr>
        <w:pStyle w:val="null3"/>
      </w:pPr>
      <w:r>
        <w:rPr>
          <w:rFonts w:ascii="仿宋_GB2312" w:hAnsi="仿宋_GB2312" w:cs="仿宋_GB2312" w:eastAsia="仿宋_GB2312"/>
        </w:rPr>
        <w:t>地址：西安市碑林区环城南路西段45号时代诺利达B区6楼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蒲城县房地一体发证工作缮证、发证工作主要涉及的有奉先街道、紫荆街道</w:t>
      </w:r>
      <w:r>
        <w:rPr>
          <w:rFonts w:ascii="仿宋_GB2312" w:hAnsi="仿宋_GB2312" w:cs="仿宋_GB2312" w:eastAsia="仿宋_GB2312"/>
          <w:sz w:val="21"/>
        </w:rPr>
        <w:t>2个街道和尧山镇、兴镇、桥陵镇、苏坊镇、荆姚镇、党睦镇、陈庄镇、龙阳镇、龙池镇、孙镇、椿林镇、永丰镇、洛滨镇、罕井镇、高阳镇15个镇，土地面积总面积1583.58平方千米，涉及宅基地及集体建设用地约95890宗</w:t>
      </w:r>
      <w:r>
        <w:rPr>
          <w:rFonts w:ascii="仿宋_GB2312" w:hAnsi="仿宋_GB2312" w:cs="仿宋_GB2312" w:eastAsia="仿宋_GB2312"/>
          <w:sz w:val="21"/>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7,000,000.00</w:t>
      </w:r>
    </w:p>
    <w:p>
      <w:pPr>
        <w:pStyle w:val="null3"/>
      </w:pPr>
      <w:r>
        <w:rPr>
          <w:rFonts w:ascii="仿宋_GB2312" w:hAnsi="仿宋_GB2312" w:cs="仿宋_GB2312" w:eastAsia="仿宋_GB2312"/>
        </w:rPr>
        <w:t>采购包最高限价（元）: 7,000,000.00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蒲城县房地一体发证工作缮证发证工作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标的名称：蒲城县房地一体发证工作缮证发证工作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一、服务范围</w:t>
            </w:r>
          </w:p>
          <w:p>
            <w:pPr>
              <w:pStyle w:val="null3"/>
              <w:jc w:val="left"/>
            </w:pPr>
            <w:r>
              <w:rPr>
                <w:rFonts w:ascii="仿宋_GB2312" w:hAnsi="仿宋_GB2312" w:cs="仿宋_GB2312" w:eastAsia="仿宋_GB2312"/>
              </w:rPr>
              <w:t>蒲城县房地一体发证工作缮证、发证工作主要涉及的有奉先街道、紫荆街道</w:t>
            </w:r>
            <w:r>
              <w:rPr>
                <w:rFonts w:ascii="仿宋_GB2312" w:hAnsi="仿宋_GB2312" w:cs="仿宋_GB2312" w:eastAsia="仿宋_GB2312"/>
              </w:rPr>
              <w:t>2个街道和尧山镇、兴镇、桥陵镇、苏坊镇、荆姚镇、党睦镇、陈庄镇、龙阳镇、龙池镇、孙镇、椿林镇、永丰镇、洛滨镇、罕井镇、高阳镇15个镇，土地面积总面积1583.58平方千米，涉及宅基地及集体建设用地约95890宗。</w:t>
            </w:r>
          </w:p>
          <w:p>
            <w:pPr>
              <w:pStyle w:val="null3"/>
              <w:jc w:val="left"/>
            </w:pPr>
            <w:r>
              <w:rPr>
                <w:rFonts w:ascii="仿宋_GB2312" w:hAnsi="仿宋_GB2312" w:cs="仿宋_GB2312" w:eastAsia="仿宋_GB2312"/>
              </w:rPr>
              <w:t>二、服务</w:t>
            </w:r>
            <w:r>
              <w:rPr>
                <w:rFonts w:ascii="仿宋_GB2312" w:hAnsi="仿宋_GB2312" w:cs="仿宋_GB2312" w:eastAsia="仿宋_GB2312"/>
              </w:rPr>
              <w:t>要求</w:t>
            </w:r>
          </w:p>
          <w:p>
            <w:pPr>
              <w:pStyle w:val="null3"/>
              <w:jc w:val="left"/>
            </w:pPr>
            <w:r>
              <w:rPr>
                <w:rFonts w:ascii="仿宋_GB2312" w:hAnsi="仿宋_GB2312" w:cs="仿宋_GB2312" w:eastAsia="仿宋_GB2312"/>
              </w:rPr>
              <w:t>（一）坐标系及高程基准</w:t>
            </w:r>
          </w:p>
          <w:p>
            <w:pPr>
              <w:pStyle w:val="null3"/>
              <w:jc w:val="left"/>
            </w:pPr>
            <w:r>
              <w:rPr>
                <w:rFonts w:ascii="仿宋_GB2312" w:hAnsi="仿宋_GB2312" w:cs="仿宋_GB2312" w:eastAsia="仿宋_GB2312"/>
              </w:rPr>
              <w:t>坐标系国家</w:t>
            </w:r>
            <w:r>
              <w:rPr>
                <w:rFonts w:ascii="仿宋_GB2312" w:hAnsi="仿宋_GB2312" w:cs="仿宋_GB2312" w:eastAsia="仿宋_GB2312"/>
              </w:rPr>
              <w:t>2000大地坐标系，1985国家高程基准。</w:t>
            </w:r>
          </w:p>
          <w:p>
            <w:pPr>
              <w:pStyle w:val="null3"/>
              <w:jc w:val="left"/>
            </w:pPr>
            <w:r>
              <w:rPr>
                <w:rFonts w:ascii="仿宋_GB2312" w:hAnsi="仿宋_GB2312" w:cs="仿宋_GB2312" w:eastAsia="仿宋_GB2312"/>
              </w:rPr>
              <w:t>（二）地籍档案相关服务</w:t>
            </w:r>
          </w:p>
          <w:p>
            <w:pPr>
              <w:pStyle w:val="null3"/>
              <w:jc w:val="left"/>
            </w:pPr>
            <w:r>
              <w:rPr>
                <w:rFonts w:ascii="仿宋_GB2312" w:hAnsi="仿宋_GB2312" w:cs="仿宋_GB2312" w:eastAsia="仿宋_GB2312"/>
              </w:rPr>
              <w:t>1、地籍档案（含扫描件）收集、分类、检查校对：全面收集本次房地一体发证相关的地籍档案资料，涵盖权籍调查成果、权属证明、权利人身份信息、宗地及房屋相关材料等，同时收集档案对应电子扫描件；按档案管理规范及发证工作需求，对纸质档案及电子扫描件进行分类、编号、整理；逐份检查校对档案资料的完整性、真实性、合规性，核对电子扫描件与纸质档案的一致性，发现缺失、错误、模糊等问题，及时反馈采购单位并协助补充完善、修正，确保档案资料可直接用于后续发证相关工作。</w:t>
            </w:r>
          </w:p>
          <w:p>
            <w:pPr>
              <w:pStyle w:val="null3"/>
              <w:jc w:val="left"/>
            </w:pPr>
            <w:r>
              <w:rPr>
                <w:rFonts w:ascii="仿宋_GB2312" w:hAnsi="仿宋_GB2312" w:cs="仿宋_GB2312" w:eastAsia="仿宋_GB2312"/>
              </w:rPr>
              <w:t>（三）权籍数据处理服务</w:t>
            </w:r>
          </w:p>
          <w:p>
            <w:pPr>
              <w:pStyle w:val="null3"/>
              <w:jc w:val="left"/>
            </w:pPr>
            <w:r>
              <w:rPr>
                <w:rFonts w:ascii="仿宋_GB2312" w:hAnsi="仿宋_GB2312" w:cs="仿宋_GB2312" w:eastAsia="仿宋_GB2312"/>
              </w:rPr>
              <w:t>1、权籍调查数据库接收及检查工作：接收采购单位移交的权籍调查数据库，包括宗地数据、房屋数据、权籍调查属性信息等；对数据库进行全面检查，重点核查数据完整性、准确性、规范性，排查数据缺失、格式错误、逻辑矛盾、坐标偏差等问题，形成检查记录，如前期资料错误，由采购人协调原单位限期修改，确保数据库符合房地一体发证数据标准。</w:t>
            </w:r>
          </w:p>
          <w:p>
            <w:pPr>
              <w:pStyle w:val="null3"/>
              <w:jc w:val="left"/>
            </w:pPr>
            <w:r>
              <w:rPr>
                <w:rFonts w:ascii="仿宋_GB2312" w:hAnsi="仿宋_GB2312" w:cs="仿宋_GB2312" w:eastAsia="仿宋_GB2312"/>
              </w:rPr>
              <w:t>2、自然幢属性完善：依据权籍调查成果、地籍档案及相关规范，对自然幢属性信息进行补充、完善和修正；明确自然幢的坐落、层数、结构、建成年代、建筑面积等核心属性，确保自然幢属性信息完整、准确，与实际房屋情况一致，为后续数据落宗、楼盘建设奠定基础。</w:t>
            </w:r>
          </w:p>
          <w:p>
            <w:pPr>
              <w:pStyle w:val="null3"/>
              <w:jc w:val="left"/>
            </w:pPr>
            <w:r>
              <w:rPr>
                <w:rFonts w:ascii="仿宋_GB2312" w:hAnsi="仿宋_GB2312" w:cs="仿宋_GB2312" w:eastAsia="仿宋_GB2312"/>
              </w:rPr>
              <w:t>3、发证数据落宗：结合权籍调查数据库、地籍档案资料，将每笔发证业务对应的权利人、房屋信息与对应宗地进行精准关联（落宗）；核查落宗准确性，确保房屋信息与宗地信息匹配无误，无错落、漏落情况，保障不动产权利归属清晰，符合不动产登记落宗管理要求。</w:t>
            </w:r>
          </w:p>
          <w:p>
            <w:pPr>
              <w:pStyle w:val="null3"/>
              <w:jc w:val="left"/>
            </w:pPr>
            <w:r>
              <w:rPr>
                <w:rFonts w:ascii="仿宋_GB2312" w:hAnsi="仿宋_GB2312" w:cs="仿宋_GB2312" w:eastAsia="仿宋_GB2312"/>
              </w:rPr>
              <w:t>4、发证数据属性补充维护：重点围绕登记业务编码完善、基础登记信息核对、证书基本信息完善、证书发放与归档信息维护等核心工作开展，确保发证数据属性完整、规范，满足登簿、缮证及数据库汇交要求。</w:t>
            </w:r>
          </w:p>
          <w:p>
            <w:pPr>
              <w:pStyle w:val="null3"/>
              <w:jc w:val="left"/>
            </w:pPr>
            <w:r>
              <w:rPr>
                <w:rFonts w:ascii="仿宋_GB2312" w:hAnsi="仿宋_GB2312" w:cs="仿宋_GB2312" w:eastAsia="仿宋_GB2312"/>
              </w:rPr>
              <w:t>（四）发证全流程办理服务</w:t>
            </w:r>
          </w:p>
          <w:p>
            <w:pPr>
              <w:pStyle w:val="null3"/>
              <w:jc w:val="left"/>
            </w:pPr>
            <w:r>
              <w:rPr>
                <w:rFonts w:ascii="仿宋_GB2312" w:hAnsi="仿宋_GB2312" w:cs="仿宋_GB2312" w:eastAsia="仿宋_GB2312"/>
              </w:rPr>
              <w:t>1、发证受理：核对申请人提交的申请材料、地籍档案、身份信息等，检查材料完整性、合规性，指导申请人规范填写相关表格，对符合受理条件的业务及时录入受理系统，出具受理凭证；对不符合受理条件的，明确告知申请人需补充的材料及相关要求，做好沟通解释工作。</w:t>
            </w:r>
          </w:p>
          <w:p>
            <w:pPr>
              <w:pStyle w:val="null3"/>
              <w:jc w:val="left"/>
            </w:pPr>
            <w:r>
              <w:rPr>
                <w:rFonts w:ascii="仿宋_GB2312" w:hAnsi="仿宋_GB2312" w:cs="仿宋_GB2312" w:eastAsia="仿宋_GB2312"/>
              </w:rPr>
              <w:t>2、发证审核：对受理的发证业务进行全面审核，结合地籍档案、权籍数据、申请材料等，核查权利人资格、不动产权属来源、数据准确性、落宗规范性等；严格按照不动产登记审核规范，区分初审、复审环节，对审核通过的业务提交至登簿环节；对审核发现的问题，及时退回并反馈相关情况，指导补充完善后重新审核。</w:t>
            </w:r>
          </w:p>
          <w:p>
            <w:pPr>
              <w:pStyle w:val="null3"/>
              <w:jc w:val="left"/>
            </w:pPr>
            <w:r>
              <w:rPr>
                <w:rFonts w:ascii="仿宋_GB2312" w:hAnsi="仿宋_GB2312" w:cs="仿宋_GB2312" w:eastAsia="仿宋_GB2312"/>
              </w:rPr>
              <w:t>3、登簿、缮证：对审核通过的发证业务，严格按照不动产登记登簿规范，准确将相关信息录入不动产登记登簿系统，完成登簿操作，确保登簿信息与发证数据、档案资料完全一致；登簿完成后，开展缮证工作，采用符合规范的专用纸张、油墨及专业设备，打印不动产权证书正副本，按规定加盖相关印章，整理装订证书，确保缮证规范、准确，无错漏、模糊等问题。</w:t>
            </w:r>
          </w:p>
          <w:p>
            <w:pPr>
              <w:pStyle w:val="null3"/>
              <w:jc w:val="left"/>
            </w:pPr>
            <w:r>
              <w:rPr>
                <w:rFonts w:ascii="仿宋_GB2312" w:hAnsi="仿宋_GB2312" w:cs="仿宋_GB2312" w:eastAsia="仿宋_GB2312"/>
              </w:rPr>
              <w:t>（五）数据库汇交相关服务</w:t>
            </w:r>
          </w:p>
          <w:p>
            <w:pPr>
              <w:pStyle w:val="null3"/>
              <w:jc w:val="left"/>
            </w:pPr>
            <w:r>
              <w:rPr>
                <w:rFonts w:ascii="仿宋_GB2312" w:hAnsi="仿宋_GB2312" w:cs="仿宋_GB2312" w:eastAsia="仿宋_GB2312"/>
              </w:rPr>
              <w:t>1、汇交数据库建设：基于发证全流程数据、权籍调查数据、地籍档案信息等，按地方不动产登记数据汇交标准，建设规范的发证数据汇交数据库；对数据进行整理、清洗、整合，确保数据库数据完整、格式规范、逻辑一致，符合汇交要求；协助采购单位完成数据库的调试、自检，确保数据库可正常汇交至相关主管部门，满足数据备案、共享及管理需求。</w:t>
            </w:r>
          </w:p>
          <w:p>
            <w:pPr>
              <w:pStyle w:val="null3"/>
              <w:jc w:val="left"/>
            </w:pPr>
            <w:r>
              <w:rPr>
                <w:rFonts w:ascii="仿宋_GB2312" w:hAnsi="仿宋_GB2312" w:cs="仿宋_GB2312" w:eastAsia="仿宋_GB2312"/>
              </w:rPr>
              <w:t>2、数据汇交成功后提供相关证明文件（如省级入库截图或回执等）。</w:t>
            </w:r>
          </w:p>
          <w:p>
            <w:pPr>
              <w:pStyle w:val="null3"/>
              <w:jc w:val="left"/>
            </w:pPr>
            <w:r>
              <w:rPr>
                <w:rFonts w:ascii="仿宋_GB2312" w:hAnsi="仿宋_GB2312" w:cs="仿宋_GB2312" w:eastAsia="仿宋_GB2312"/>
              </w:rPr>
              <w:t>三、服</w:t>
            </w:r>
            <w:r>
              <w:rPr>
                <w:rFonts w:ascii="仿宋_GB2312" w:hAnsi="仿宋_GB2312" w:cs="仿宋_GB2312" w:eastAsia="仿宋_GB2312"/>
              </w:rPr>
              <w:t>务</w:t>
            </w:r>
            <w:r>
              <w:rPr>
                <w:rFonts w:ascii="仿宋_GB2312" w:hAnsi="仿宋_GB2312" w:cs="仿宋_GB2312" w:eastAsia="仿宋_GB2312"/>
              </w:rPr>
              <w:t>标准</w:t>
            </w:r>
          </w:p>
          <w:p>
            <w:pPr>
              <w:pStyle w:val="null3"/>
              <w:jc w:val="left"/>
            </w:pPr>
            <w:r>
              <w:rPr>
                <w:rFonts w:ascii="仿宋_GB2312" w:hAnsi="仿宋_GB2312" w:cs="仿宋_GB2312" w:eastAsia="仿宋_GB2312"/>
              </w:rPr>
              <w:t>符合国家、省、市有关不动产权籍调查技术标准。</w:t>
            </w:r>
          </w:p>
          <w:p>
            <w:pPr>
              <w:pStyle w:val="null3"/>
              <w:jc w:val="left"/>
            </w:pPr>
            <w:r>
              <w:rPr>
                <w:rFonts w:ascii="仿宋_GB2312" w:hAnsi="仿宋_GB2312" w:cs="仿宋_GB2312" w:eastAsia="仿宋_GB2312"/>
              </w:rPr>
              <w:t>四</w:t>
            </w:r>
            <w:r>
              <w:rPr>
                <w:rFonts w:ascii="仿宋_GB2312" w:hAnsi="仿宋_GB2312" w:cs="仿宋_GB2312" w:eastAsia="仿宋_GB2312"/>
              </w:rPr>
              <w:t>、成果要求</w:t>
            </w:r>
          </w:p>
          <w:p>
            <w:pPr>
              <w:pStyle w:val="null3"/>
              <w:jc w:val="left"/>
            </w:pPr>
            <w:r>
              <w:rPr>
                <w:rFonts w:ascii="仿宋_GB2312" w:hAnsi="仿宋_GB2312" w:cs="仿宋_GB2312" w:eastAsia="仿宋_GB2312"/>
              </w:rPr>
              <w:t>1、文字成果：项目设计书，工作报告，技术总结，质检报告。</w:t>
            </w:r>
          </w:p>
          <w:p>
            <w:pPr>
              <w:pStyle w:val="null3"/>
              <w:jc w:val="left"/>
            </w:pPr>
            <w:r>
              <w:rPr>
                <w:rFonts w:ascii="仿宋_GB2312" w:hAnsi="仿宋_GB2312" w:cs="仿宋_GB2312" w:eastAsia="仿宋_GB2312"/>
              </w:rPr>
              <w:t>2、数据库成果：登记数据库建设，调查数据库建设。</w:t>
            </w:r>
          </w:p>
          <w:p>
            <w:pPr>
              <w:pStyle w:val="null3"/>
              <w:jc w:val="left"/>
            </w:pPr>
            <w:r>
              <w:rPr>
                <w:rFonts w:ascii="仿宋_GB2312" w:hAnsi="仿宋_GB2312" w:cs="仿宋_GB2312" w:eastAsia="仿宋_GB2312"/>
              </w:rPr>
              <w:t>3、证书打印。</w:t>
            </w:r>
          </w:p>
          <w:p>
            <w:pPr>
              <w:pStyle w:val="null3"/>
              <w:jc w:val="left"/>
            </w:pPr>
            <w:r>
              <w:rPr>
                <w:rFonts w:ascii="仿宋_GB2312" w:hAnsi="仿宋_GB2312" w:cs="仿宋_GB2312" w:eastAsia="仿宋_GB2312"/>
              </w:rPr>
              <w:t>五</w:t>
            </w:r>
            <w:r>
              <w:rPr>
                <w:rFonts w:ascii="仿宋_GB2312" w:hAnsi="仿宋_GB2312" w:cs="仿宋_GB2312" w:eastAsia="仿宋_GB2312"/>
              </w:rPr>
              <w:t>、技术规范</w:t>
            </w:r>
          </w:p>
          <w:p>
            <w:pPr>
              <w:pStyle w:val="null3"/>
              <w:jc w:val="left"/>
            </w:pPr>
            <w:r>
              <w:rPr>
                <w:rFonts w:ascii="仿宋_GB2312" w:hAnsi="仿宋_GB2312" w:cs="仿宋_GB2312" w:eastAsia="仿宋_GB2312"/>
              </w:rPr>
              <w:t>1、《地籍调查规程》（GB/T 42547—2023）)；</w:t>
            </w:r>
          </w:p>
          <w:p>
            <w:pPr>
              <w:pStyle w:val="null3"/>
              <w:jc w:val="left"/>
            </w:pPr>
            <w:r>
              <w:rPr>
                <w:rFonts w:ascii="仿宋_GB2312" w:hAnsi="仿宋_GB2312" w:cs="仿宋_GB2312" w:eastAsia="仿宋_GB2312"/>
              </w:rPr>
              <w:t>2、《房产测量规范》(GB/T 17986- 2000)；</w:t>
            </w:r>
          </w:p>
          <w:p>
            <w:pPr>
              <w:pStyle w:val="null3"/>
              <w:jc w:val="left"/>
            </w:pPr>
            <w:r>
              <w:rPr>
                <w:rFonts w:ascii="仿宋_GB2312" w:hAnsi="仿宋_GB2312" w:cs="仿宋_GB2312" w:eastAsia="仿宋_GB2312"/>
              </w:rPr>
              <w:t>3、《土地利用现状分类》(GB/T 201010- -2017)；</w:t>
            </w:r>
          </w:p>
          <w:p>
            <w:pPr>
              <w:pStyle w:val="null3"/>
              <w:jc w:val="left"/>
            </w:pPr>
            <w:r>
              <w:rPr>
                <w:rFonts w:ascii="仿宋_GB2312" w:hAnsi="仿宋_GB2312" w:cs="仿宋_GB2312" w:eastAsia="仿宋_GB2312"/>
              </w:rPr>
              <w:t>4、《1:500、1:1000、1:2000地形图图式》(GB/T20257.1-2017)；</w:t>
            </w:r>
          </w:p>
          <w:p>
            <w:pPr>
              <w:pStyle w:val="null3"/>
              <w:jc w:val="left"/>
            </w:pPr>
            <w:r>
              <w:rPr>
                <w:rFonts w:ascii="仿宋_GB2312" w:hAnsi="仿宋_GB2312" w:cs="仿宋_GB2312" w:eastAsia="仿宋_GB2312"/>
              </w:rPr>
              <w:t>5、《国家基本比例尺地形图分幅和编号》(GB/T 13989 2012)；</w:t>
            </w:r>
          </w:p>
          <w:p>
            <w:pPr>
              <w:pStyle w:val="null3"/>
              <w:jc w:val="left"/>
            </w:pPr>
            <w:r>
              <w:rPr>
                <w:rFonts w:ascii="仿宋_GB2312" w:hAnsi="仿宋_GB2312" w:cs="仿宋_GB2312" w:eastAsia="仿宋_GB2312"/>
              </w:rPr>
              <w:t>6、《建筑工程建筑面积计算规范》(GB/T 50353 -2013)。</w:t>
            </w:r>
          </w:p>
          <w:p>
            <w:pPr>
              <w:pStyle w:val="null3"/>
              <w:jc w:val="left"/>
            </w:pPr>
            <w:r>
              <w:rPr>
                <w:rFonts w:ascii="仿宋_GB2312" w:hAnsi="仿宋_GB2312" w:cs="仿宋_GB2312" w:eastAsia="仿宋_GB2312"/>
              </w:rPr>
              <w:t>7、《测绘成果质量检查与验收》(GB/T 24356-2023)；</w:t>
            </w:r>
          </w:p>
          <w:p>
            <w:pPr>
              <w:pStyle w:val="null3"/>
              <w:jc w:val="left"/>
            </w:pPr>
            <w:r>
              <w:rPr>
                <w:rFonts w:ascii="仿宋_GB2312" w:hAnsi="仿宋_GB2312" w:cs="仿宋_GB2312" w:eastAsia="仿宋_GB2312"/>
              </w:rPr>
              <w:t>8、《数字测绘成果质量检查与验收》(GB/T 18316-2008)；</w:t>
            </w:r>
          </w:p>
          <w:p>
            <w:pPr>
              <w:pStyle w:val="null3"/>
              <w:jc w:val="left"/>
            </w:pPr>
            <w:r>
              <w:rPr>
                <w:rFonts w:ascii="仿宋_GB2312" w:hAnsi="仿宋_GB2312" w:cs="仿宋_GB2312" w:eastAsia="仿宋_GB2312"/>
              </w:rPr>
              <w:t>9、《城市测量规范》(CJJ/T8- -2011)；</w:t>
            </w:r>
          </w:p>
          <w:p>
            <w:pPr>
              <w:pStyle w:val="null3"/>
              <w:jc w:val="left"/>
            </w:pPr>
            <w:r>
              <w:rPr>
                <w:rFonts w:ascii="仿宋_GB2312" w:hAnsi="仿宋_GB2312" w:cs="仿宋_GB2312" w:eastAsia="仿宋_GB2312"/>
              </w:rPr>
              <w:t>10、《卫星定位城市测量技术标准》(CJJ/T 73-2019)；</w:t>
            </w:r>
          </w:p>
          <w:p>
            <w:pPr>
              <w:pStyle w:val="null3"/>
              <w:jc w:val="left"/>
            </w:pPr>
            <w:r>
              <w:rPr>
                <w:rFonts w:ascii="仿宋_GB2312" w:hAnsi="仿宋_GB2312" w:cs="仿宋_GB2312" w:eastAsia="仿宋_GB2312"/>
              </w:rPr>
              <w:t>11、《全球定位系统实时动态测量(RTK) 技术规范》(CH/T2009- 2010)；</w:t>
            </w:r>
          </w:p>
          <w:p>
            <w:pPr>
              <w:pStyle w:val="null3"/>
              <w:jc w:val="left"/>
            </w:pPr>
            <w:r>
              <w:rPr>
                <w:rFonts w:ascii="仿宋_GB2312" w:hAnsi="仿宋_GB2312" w:cs="仿宋_GB2312" w:eastAsia="仿宋_GB2312"/>
              </w:rPr>
              <w:t>12、不动产登记数据库标准（TD/T 1066-2021）；</w:t>
            </w:r>
          </w:p>
          <w:p>
            <w:pPr>
              <w:pStyle w:val="null3"/>
              <w:jc w:val="left"/>
            </w:pPr>
            <w:r>
              <w:rPr>
                <w:rFonts w:ascii="仿宋_GB2312" w:hAnsi="仿宋_GB2312" w:cs="仿宋_GB2312" w:eastAsia="仿宋_GB2312"/>
              </w:rPr>
              <w:t>13、陕西省自然资源厅关于印发《陕西省农村不动产登记发证工作方案》的通知；</w:t>
            </w:r>
          </w:p>
          <w:p>
            <w:pPr>
              <w:pStyle w:val="null3"/>
            </w:pPr>
            <w:r>
              <w:rPr>
                <w:rFonts w:ascii="仿宋_GB2312" w:hAnsi="仿宋_GB2312" w:cs="仿宋_GB2312" w:eastAsia="仿宋_GB2312"/>
                <w:sz w:val="21"/>
              </w:rPr>
              <w:t>14、蒲城县人民政府关于印发蒲城县房地一体宅基地和集体建设用地确权登记发证工</w:t>
            </w:r>
            <w:r>
              <w:rPr>
                <w:rFonts w:ascii="仿宋_GB2312" w:hAnsi="仿宋_GB2312" w:cs="仿宋_GB2312" w:eastAsia="仿宋_GB2312"/>
                <w:sz w:val="21"/>
              </w:rPr>
              <w:t>作实施方案的通知</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本项目综合单价限价：</w:t>
            </w:r>
            <w:r>
              <w:rPr>
                <w:rFonts w:ascii="仿宋_GB2312" w:hAnsi="仿宋_GB2312" w:cs="仿宋_GB2312" w:eastAsia="仿宋_GB2312"/>
                <w:sz w:val="21"/>
              </w:rPr>
              <w:t>73.00元/宗地</w:t>
            </w:r>
            <w:r>
              <w:rPr>
                <w:rFonts w:ascii="仿宋_GB2312" w:hAnsi="仿宋_GB2312" w:cs="仿宋_GB2312" w:eastAsia="仿宋_GB2312"/>
                <w:sz w:val="21"/>
              </w:rPr>
              <w:t>，</w:t>
            </w:r>
            <w:r>
              <w:rPr>
                <w:rFonts w:ascii="仿宋_GB2312" w:hAnsi="仿宋_GB2312" w:cs="仿宋_GB2312" w:eastAsia="仿宋_GB2312"/>
                <w:sz w:val="21"/>
              </w:rPr>
              <w:t>此价格</w:t>
            </w:r>
            <w:r>
              <w:rPr>
                <w:rFonts w:ascii="仿宋_GB2312" w:hAnsi="仿宋_GB2312" w:cs="仿宋_GB2312" w:eastAsia="仿宋_GB2312"/>
                <w:sz w:val="21"/>
              </w:rPr>
              <w:t>不包含证书采购</w:t>
            </w:r>
            <w:r>
              <w:rPr>
                <w:rFonts w:ascii="仿宋_GB2312" w:hAnsi="仿宋_GB2312" w:cs="仿宋_GB2312" w:eastAsia="仿宋_GB2312"/>
                <w:sz w:val="21"/>
              </w:rPr>
              <w:t>。</w:t>
            </w:r>
            <w:r>
              <w:rPr>
                <w:rFonts w:ascii="仿宋_GB2312" w:hAnsi="仿宋_GB2312" w:cs="仿宋_GB2312" w:eastAsia="仿宋_GB2312"/>
                <w:sz w:val="21"/>
              </w:rPr>
              <w:t>投标人投标时按</w:t>
            </w:r>
            <w:r>
              <w:rPr>
                <w:rFonts w:ascii="仿宋_GB2312" w:hAnsi="仿宋_GB2312" w:cs="仿宋_GB2312" w:eastAsia="仿宋_GB2312"/>
                <w:sz w:val="21"/>
              </w:rPr>
              <w:t>单价</w:t>
            </w:r>
            <w:r>
              <w:rPr>
                <w:rFonts w:ascii="仿宋_GB2312" w:hAnsi="仿宋_GB2312" w:cs="仿宋_GB2312" w:eastAsia="仿宋_GB2312"/>
                <w:sz w:val="21"/>
              </w:rPr>
              <w:t>进行报价</w:t>
            </w:r>
            <w:r>
              <w:rPr>
                <w:rFonts w:ascii="仿宋_GB2312" w:hAnsi="仿宋_GB2312" w:cs="仿宋_GB2312" w:eastAsia="仿宋_GB2312"/>
                <w:sz w:val="21"/>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★针对本项目有不少于15人的团队人员，分工明确，明确项目负责人等。要求拟投入的团队人员须为供应商在职人员，人员要求详见评审细则及标准。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具有履行本项目合同所必需的仪器设备、软硬件等，能够满足项目需求。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1.投标人对每道工序均须落实到人，专人负责，并且进行全面的自检，由作业员撰写自检报告提交采购人。 2.评分标准中的“现状及项目背景的认识;服务方案；项目质量控制目标及措施；项目进度及后续服务计划；应急预案及补救措施；安全保密措施；重点、难点分析；项目团队；设备配置情况；”由投标人提供方案、解决方案或者组织方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★合同签订后500个日历日内完成全部工作。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★本项目服务范围中的2个街道办及15个镇。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具体标准：1）数据库成果一次性通过陕西省自然资源厅不动产登记数据汇交检查，并取得汇交通知书或入库截图；2）缮证（证书打印）内容与登记信息一致，错误率不超过千分之一（以采购人抽查1000本为样本）；3）所有成果资料完整、规范，符合不动产登记档案管理要求。 2、验收程序：1）成交人完成全部工作后，提交书面验收申请及全套成果资料；2）采购人在收到申请后30日内组织验收。 3、验收依据：招标文件、投标文件、合同文本、省市相关标准及规范。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★验收合格且无质量问题，乙方提交完整归档资料后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★1.按照《中华人民共和国民法典》中的相关条款执行。2.投标人未按合同要求提供服务或服务质量未达到合同约定的，采购人有权终止合同。因中标人原因对采购人造成经济损失的，采购人有权进行追责。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★1.投标人负责完成本项目采购需求内的一切事项，并完成与合同履约相关的工作。凡涉及的数据采集、成果出具、税金、验收等，所有费用一次性计入投标报价，合同履约过程中采购人不再支付其他额外费用。 2.本项目招单价，单价一经确定，合同履行期间不作调整，合同款项结算金额按供应商实际完成的合格工作量结合中标单价计算。 3.投标人为本项目实施涉及的商品包装和快递包装，应符合《商品包装政府采购需求标准（试行）》、《快递包装政府采购需求标准（试行）》要求。 4.响应时间：接到采购人通知后，2小时内远程响应，8小时内给出解决方案，若远程无法解决问题24小时内安排专人到达现场。 5.保密：供应商对履行本合同所获悉的一切信息（包括但不限于国家秘密、测绘数据、权利人个人信息、权属资料等）承担永久保密义务，无论合同是否变更、解除或终止。 6.供应商应保证投标服务不会出现因第三方提出侵犯其专利权、商标权或其它知识产权而引发法律或经济纠纷，否则由投标人承担全部责任。任何被投标人用于未经授权的商业目的行为所造成的违约或侵权责任由投标人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提供承诺函）；3）有依法缴纳税收和社会保障资金的良好记录：税收缴纳证明：提供投标文件提交截止时间前六个月内任意一月已缴纳的纳税证明或完税证明（包含增值税、企业所得税至少一种），依法免税或不需要缴纳税收的投标人应提供相关证明文件；社保缴纳证明：提供投标文件提交截止时间前六个月内任意一月已缴存的社会保障资金缴费证明或参保证明，依法不需要缴纳社会保障资金的投标人应提供相关证明文件；4）参加政府采购活动前三年内，在经营活动中没有重大违法记录（提供书面声明）；5）法律、行政法规规定的其他条件（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报告须具有注册会计师行业统一监管平台赋予的验证码）或投标文件提交截止时间前六个月内基本存款账户开户银行出具的资信证明或政府采购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投标人需在项目电子化交易系统中按要求提供承诺函并进行电子签章。</w:t>
            </w:r>
          </w:p>
        </w:tc>
        <w:tc>
          <w:tcPr>
            <w:tcW w:type="dxa" w:w="1661"/>
          </w:tcPr>
          <w:p>
            <w:pPr>
              <w:pStyle w:val="null3"/>
            </w:pPr>
            <w:r>
              <w:rPr>
                <w:rFonts w:ascii="仿宋_GB2312" w:hAnsi="仿宋_GB2312" w:cs="仿宋_GB2312" w:eastAsia="仿宋_GB2312"/>
              </w:rPr>
              <w:t>投标函 投标文件格式</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法定代表人直接参加投标的提供法定代表人证明及其身份证；授权代表参与投标的提供法定代表人授权书（附法定代表人及授权代表身份证）；非法人单位参照执行。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投标人须具有测绘甲级资质（专业范围包含：界线与不动产测绘）。</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投标文件格式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中小企业声明函 残疾人福利性单位声明函 监狱企业的证明文件 投标文件格式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④评标委员会基于专业判断，认为供应商报价过低，有可能影响产品质量或者不能诚信履约的其他情形。 2.评标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 3.投标人提交的相关证明材料，应当加盖投标人（法定名称）电子印章，在评标委员会要求的时间内通过项目电子化交易系统进行提交，否则提交的相关证明材料无效。投标人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按招标文件要求编制投标文件，满足第二章实质性要求条款。</w:t>
            </w:r>
          </w:p>
        </w:tc>
        <w:tc>
          <w:tcPr>
            <w:tcW w:type="dxa" w:w="1661"/>
          </w:tcPr>
          <w:p>
            <w:pPr>
              <w:pStyle w:val="null3"/>
            </w:pPr>
            <w:r>
              <w:rPr>
                <w:rFonts w:ascii="仿宋_GB2312" w:hAnsi="仿宋_GB2312" w:cs="仿宋_GB2312" w:eastAsia="仿宋_GB2312"/>
              </w:rPr>
              <w:t>投标文件封面 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投标报价唯一，且未超过已设置的综合单价限价。</w:t>
            </w:r>
          </w:p>
        </w:tc>
        <w:tc>
          <w:tcPr>
            <w:tcW w:type="dxa" w:w="1661"/>
          </w:tcPr>
          <w:p>
            <w:pPr>
              <w:pStyle w:val="null3"/>
            </w:pPr>
            <w:r>
              <w:rPr>
                <w:rFonts w:ascii="仿宋_GB2312" w:hAnsi="仿宋_GB2312" w:cs="仿宋_GB2312" w:eastAsia="仿宋_GB2312"/>
              </w:rPr>
              <w:t>开标一览表 投标函 标的清单 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投标文件格式</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现状及项目背景的认识</w:t>
            </w:r>
          </w:p>
        </w:tc>
        <w:tc>
          <w:tcPr>
            <w:tcW w:type="dxa" w:w="2492"/>
          </w:tcPr>
          <w:p>
            <w:pPr>
              <w:pStyle w:val="null3"/>
            </w:pPr>
            <w:r>
              <w:rPr>
                <w:rFonts w:ascii="仿宋_GB2312" w:hAnsi="仿宋_GB2312" w:cs="仿宋_GB2312" w:eastAsia="仿宋_GB2312"/>
              </w:rPr>
              <w:t>针对本项目有①项目现状、②项目认识和理解情况、③相关政策。 1.现状及项目背景的认识共3项，投标人提供的方案内容完全满足采购需求，每项计3分，最高计9分； 2.提供的方案内容基本满足采购需求，每项计2分；3.提供的方案内容不详尽或不适用于本项目每项计1分；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针对本项目提供①项目前期准备方案、②项目工作技术实施、③工作团队组织架构、④工作流程图。 1.服务方案共4项，投标人提供的方案内容完全满足采购需求，每项计4分，最高计16分； 2.提供的方案内容基本满足采购需求，每项计3分； 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项目质量控制目标及措施</w:t>
            </w:r>
          </w:p>
        </w:tc>
        <w:tc>
          <w:tcPr>
            <w:tcW w:type="dxa" w:w="2492"/>
          </w:tcPr>
          <w:p>
            <w:pPr>
              <w:pStyle w:val="null3"/>
            </w:pPr>
            <w:r>
              <w:rPr>
                <w:rFonts w:ascii="仿宋_GB2312" w:hAnsi="仿宋_GB2312" w:cs="仿宋_GB2312" w:eastAsia="仿宋_GB2312"/>
              </w:rPr>
              <w:t>针对本项目提供①项目质量控制目标、②质量保证措施。 1.项目质量控制目标及措施共2项，投标人提供的方案内容完全满足采购需求，每项计4分，最高计8分； 2.提供的方案内容基本满足采购需求，每项计3分；3.提供的方案内容不详尽或不适用于本项目每项计1分；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项目进度及后续服务计划</w:t>
            </w:r>
          </w:p>
        </w:tc>
        <w:tc>
          <w:tcPr>
            <w:tcW w:type="dxa" w:w="2492"/>
          </w:tcPr>
          <w:p>
            <w:pPr>
              <w:pStyle w:val="null3"/>
            </w:pPr>
            <w:r>
              <w:rPr>
                <w:rFonts w:ascii="仿宋_GB2312" w:hAnsi="仿宋_GB2312" w:cs="仿宋_GB2312" w:eastAsia="仿宋_GB2312"/>
              </w:rPr>
              <w:t>针对本项目提供①项目进度安排、②后续服务计划。1.项目进度及后续服务计划共2项，投标人提供的方案内容完全满足采购需求，每项计4分，最高计8分； 2.提供的方案内容基本满足采购需求，每项计3分； 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应急预案及补救措施</w:t>
            </w:r>
          </w:p>
        </w:tc>
        <w:tc>
          <w:tcPr>
            <w:tcW w:type="dxa" w:w="2492"/>
          </w:tcPr>
          <w:p>
            <w:pPr>
              <w:pStyle w:val="null3"/>
            </w:pPr>
            <w:r>
              <w:rPr>
                <w:rFonts w:ascii="仿宋_GB2312" w:hAnsi="仿宋_GB2312" w:cs="仿宋_GB2312" w:eastAsia="仿宋_GB2312"/>
              </w:rPr>
              <w:t>针对本项目提供①应急预案、②突发状况或问题后的补救措施。 1.应急预案及补救措施共2项，投标人提供的方案内容完全满足采购需求，每项计3分，最高计6分； 2.提供的方案内容基本满足采购需求，每项计2分； 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安全保密承诺及方案</w:t>
            </w:r>
          </w:p>
        </w:tc>
        <w:tc>
          <w:tcPr>
            <w:tcW w:type="dxa" w:w="2492"/>
          </w:tcPr>
          <w:p>
            <w:pPr>
              <w:pStyle w:val="null3"/>
            </w:pPr>
            <w:r>
              <w:rPr>
                <w:rFonts w:ascii="仿宋_GB2312" w:hAnsi="仿宋_GB2312" w:cs="仿宋_GB2312" w:eastAsia="仿宋_GB2312"/>
              </w:rPr>
              <w:t>针对本项目提供①完善的数据安全保密承诺、②数据安全保障方案。 1.安全保密承诺及方案共2项，供应商提供的方案内容完全满足采购需求，每项计3分，最高计6分； 2.提供的方案内容基本满足采购需求，每项计2分； 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①重点、难点分析②应对措施③合理化建议 1.重点、难点分析共3项，供应商提供的方案内容完全满足采购需求，每项计3分，最高计9分； 2.提供的方案内容基本满足采购需求，每项计2分； 3.提供的方案内容不详尽或不适用于本项目每项计1分；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1、拟投入的团队人员数量在满足15人的基础上，每增加1人计1分，最高计5分。 2、项目负责人具备测绘类专业中级职称计2分，具有测绘类专业高级职称得3分，提供证书复印件，不重复计分；3、除项目负责人外的其他团队人员中每提供有1个测绘类专业中级职称计2分，每提供1个测绘类专业高级职称计3分，提供证书复印件，同一人职称不重复计分，最高计10分。 备注：拟投入的团队人员须为投标单位在职人员，提供证明材料，否则不计分；其中拟投入的有效团队人员不足15人的，视为未实质性响应采购需求。</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软硬件设备配置情况</w:t>
            </w:r>
          </w:p>
        </w:tc>
        <w:tc>
          <w:tcPr>
            <w:tcW w:type="dxa" w:w="2492"/>
          </w:tcPr>
          <w:p>
            <w:pPr>
              <w:pStyle w:val="null3"/>
            </w:pPr>
            <w:r>
              <w:rPr>
                <w:rFonts w:ascii="仿宋_GB2312" w:hAnsi="仿宋_GB2312" w:cs="仿宋_GB2312" w:eastAsia="仿宋_GB2312"/>
              </w:rPr>
              <w:t>1、投标文件中列有完成本项目所需的测绘仪器设备清单计1分，所列设备不适用本项目或未提供不计分。 2、在提供有效清单的基础上，附有清单中所列仪器设备的购置发票或租赁协议，及仪器鉴定证书计3分，提供不全计1分，未提供不计分。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投标人提供2023年1月1日至投标文件提交截止时间前类似项目的合同复印件，以合同签订日期为准，每提供一份合同得2分，满分6分。未提供不得分。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10×（评标基准价/投标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投标文件格式</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