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版本号：KY2026-3-07020260408001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残疾人托养和照护服务项目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KY2026-3-070</w:t>
      </w:r>
      <w:r>
        <w:br/>
      </w:r>
      <w:r>
        <w:br/>
      </w:r>
      <w:r>
        <w:br/>
      </w:r>
    </w:p>
    <w:p>
      <w:pPr>
        <w:pStyle w:val="null3"/>
        <w:jc w:val="center"/>
        <w:outlineLvl w:val="2"/>
      </w:pPr>
      <w:r>
        <w:rPr>
          <w:rFonts w:ascii="仿宋_GB2312" w:hAnsi="仿宋_GB2312" w:cs="仿宋_GB2312" w:eastAsia="仿宋_GB2312"/>
          <w:sz w:val="28"/>
          <w:b/>
        </w:rPr>
        <w:t>蒲城县残疾人联合会</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蒲城县残疾人联合会</w:t>
      </w:r>
      <w:r>
        <w:rPr>
          <w:rFonts w:ascii="仿宋_GB2312" w:hAnsi="仿宋_GB2312" w:cs="仿宋_GB2312" w:eastAsia="仿宋_GB2312"/>
        </w:rPr>
        <w:t>委托，拟对</w:t>
      </w:r>
      <w:r>
        <w:rPr>
          <w:rFonts w:ascii="仿宋_GB2312" w:hAnsi="仿宋_GB2312" w:cs="仿宋_GB2312" w:eastAsia="仿宋_GB2312"/>
        </w:rPr>
        <w:t>残疾人托养和照护服务项目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KY2026-3-070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残疾人托养和照护服务项目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残疾人托养和照护服务，其中采购包1为寄宿制托养服务，采购包2为居家服务。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或2025年度经审计的完整财务会计报告（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或2025年度经审计的完整财务会计报告（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蒲城县红旗街县政府2号楼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刘蒲玉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0913-7261112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贾彤菲、黄梦迪、戈迪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采购包1：258,000.00元</w:t>
            </w:r>
          </w:p>
          <w:p>
            <w:pPr>
              <w:pStyle w:val="null3"/>
            </w:pPr>
            <w:r>
              <w:rPr>
                <w:rFonts w:ascii="仿宋_GB2312" w:hAnsi="仿宋_GB2312" w:cs="仿宋_GB2312" w:eastAsia="仿宋_GB2312"/>
              </w:rPr>
              <w:t>采购包2：170,000.00元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采购包2保证金金额：3,000.00元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银行账号：86113010750181502001055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代理服务费收费标准：1、交费金额参照国家计委颁布的《招标代理服务收费管理暂行办法》（计价格[2002]1980号）及发改办价格[2003]857号文件的规定标准计取。2、本次中标服务费按服务计取。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蒲城县残疾人联合会</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联系人：贾彤菲、黄梦迪、戈迪</w:t>
      </w:r>
    </w:p>
    <w:p>
      <w:pPr>
        <w:pStyle w:val="null3"/>
      </w:pPr>
      <w:r>
        <w:rPr>
          <w:rFonts w:ascii="仿宋_GB2312" w:hAnsi="仿宋_GB2312" w:cs="仿宋_GB2312" w:eastAsia="仿宋_GB2312"/>
        </w:rPr>
        <w:t>联系电话：029-81206622-833</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残疾人托养和照护服务，其中采购包1为寄宿制托养服务，采购包2为居家服务。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258,000.00</w:t>
      </w:r>
    </w:p>
    <w:p>
      <w:pPr>
        <w:pStyle w:val="null3"/>
      </w:pPr>
      <w:r>
        <w:rPr>
          <w:rFonts w:ascii="仿宋_GB2312" w:hAnsi="仿宋_GB2312" w:cs="仿宋_GB2312" w:eastAsia="仿宋_GB2312"/>
        </w:rPr>
        <w:t>采购包最高限价（元）: 258,000.00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寄宿制托养服务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170,000.00</w:t>
      </w:r>
    </w:p>
    <w:p>
      <w:pPr>
        <w:pStyle w:val="null3"/>
      </w:pPr>
      <w:r>
        <w:rPr>
          <w:rFonts w:ascii="仿宋_GB2312" w:hAnsi="仿宋_GB2312" w:cs="仿宋_GB2312" w:eastAsia="仿宋_GB2312"/>
        </w:rPr>
        <w:t>采购包最高限价（元）: 170,000.00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居家服务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标的名称：寄宿制托养服务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1、服务对象</w:t>
            </w:r>
            <w:r>
              <w:br/>
            </w:r>
            <w:r>
              <w:rPr>
                <w:rFonts w:ascii="仿宋_GB2312" w:hAnsi="仿宋_GB2312" w:cs="仿宋_GB2312" w:eastAsia="仿宋_GB2312"/>
              </w:rPr>
              <w:t xml:space="preserve"> 具有陕西省蒲城县户籍、处于就业年龄段、持有《中华人民共和国残疾人证》，有托养服务需求的智力残疾人、稳定期的精神残疾人（指精神障碍已经在精神专科确诊并得到治疗，急性期症状已被控制，目前处于较稳定的状态，并经精神科医师风险评估可以转介托养的精神残疾人）以及同时存在智力残疾或精神残疾的多重残疾人。</w:t>
            </w:r>
            <w:r>
              <w:br/>
            </w:r>
            <w:r>
              <w:rPr>
                <w:rFonts w:ascii="仿宋_GB2312" w:hAnsi="仿宋_GB2312" w:cs="仿宋_GB2312" w:eastAsia="仿宋_GB2312"/>
              </w:rPr>
              <w:t xml:space="preserve"> 2.服务模式</w:t>
            </w:r>
            <w:r>
              <w:br/>
            </w:r>
            <w:r>
              <w:rPr>
                <w:rFonts w:ascii="仿宋_GB2312" w:hAnsi="仿宋_GB2312" w:cs="仿宋_GB2312" w:eastAsia="仿宋_GB2312"/>
              </w:rPr>
              <w:t xml:space="preserve"> 提供24小时集中居住服务，服务对象入住成交供应商服务场所，由成交供应商全面负责服务对象的日常生活照护、个人护理、康复训练、文体娱乐、心理支持、安全教育等综合服务。</w:t>
            </w:r>
            <w:r>
              <w:br/>
            </w:r>
            <w:r>
              <w:rPr>
                <w:rFonts w:ascii="仿宋_GB2312" w:hAnsi="仿宋_GB2312" w:cs="仿宋_GB2312" w:eastAsia="仿宋_GB2312"/>
              </w:rPr>
              <w:t xml:space="preserve"> 3.服务目录</w:t>
            </w:r>
            <w:r>
              <w:br/>
            </w:r>
            <w:r>
              <w:rPr>
                <w:rFonts w:ascii="仿宋_GB2312" w:hAnsi="仿宋_GB2312" w:cs="仿宋_GB2312" w:eastAsia="仿宋_GB2312"/>
              </w:rPr>
              <w:t xml:space="preserve"> 对符合条件的残疾人，提供生活照料和护理；生活自理能力训练；社会适应能力辅导；职业康复和劳动技能训练；运动功能训练。</w:t>
            </w:r>
            <w:r>
              <w:br/>
            </w:r>
            <w:r>
              <w:rPr>
                <w:rFonts w:ascii="仿宋_GB2312" w:hAnsi="仿宋_GB2312" w:cs="仿宋_GB2312" w:eastAsia="仿宋_GB2312"/>
              </w:rPr>
              <w:t xml:space="preserve"> 4.服务人数和经费标准 </w:t>
            </w:r>
            <w:r>
              <w:br/>
            </w:r>
            <w:r>
              <w:rPr>
                <w:rFonts w:ascii="仿宋_GB2312" w:hAnsi="仿宋_GB2312" w:cs="仿宋_GB2312" w:eastAsia="仿宋_GB2312"/>
              </w:rPr>
              <w:t xml:space="preserve"> 本次寄宿制托养服务预估服务43人，采用24小时寄宿制集中居住和照料模式。按服务时间3个月确定为1人次，每人次购买标准为:6000元/人，原则上累计服务天数不得少于90天。个别服务对象确需长期服务的，按具体服务的时间确定人次。</w:t>
            </w:r>
            <w:r>
              <w:br/>
            </w:r>
            <w:r>
              <w:rPr>
                <w:rFonts w:ascii="仿宋_GB2312" w:hAnsi="仿宋_GB2312" w:cs="仿宋_GB2312" w:eastAsia="仿宋_GB2312"/>
              </w:rPr>
              <w:t xml:space="preserve"> 5、服务质量要求</w:t>
            </w:r>
            <w:r>
              <w:br/>
            </w:r>
            <w:r>
              <w:rPr>
                <w:rFonts w:ascii="仿宋_GB2312" w:hAnsi="仿宋_GB2312" w:cs="仿宋_GB2312" w:eastAsia="仿宋_GB2312"/>
              </w:rPr>
              <w:t xml:space="preserve"> 机构承接的托养服务类型应符合《就业年龄段智力、精神及重度肢体残疾人托养服务规范》（GB/T 37516—2019）、中国残联《政府购买残疾人托养服务技术标准与规范》和《残疾人服务机构管理办法》有关规定（照护服务参照执行）。</w:t>
            </w:r>
            <w:r>
              <w:br/>
            </w:r>
            <w:r>
              <w:rPr>
                <w:rFonts w:ascii="仿宋_GB2312" w:hAnsi="仿宋_GB2312" w:cs="仿宋_GB2312" w:eastAsia="仿宋_GB2312"/>
              </w:rPr>
              <w:t xml:space="preserve"> 6、服务台账与档案管理要求</w:t>
            </w:r>
            <w:r>
              <w:br/>
            </w:r>
            <w:r>
              <w:rPr>
                <w:rFonts w:ascii="仿宋_GB2312" w:hAnsi="仿宋_GB2312" w:cs="仿宋_GB2312" w:eastAsia="仿宋_GB2312"/>
              </w:rPr>
              <w:t xml:space="preserve"> 成交供应商应为每位服务对象建立独立档案，内容包括基本信息、残疾人证复印件、健康状况评估、服务需求评估、服务计划、服务记录、满意度调查等，服务记录须经服务对象或监护人签字确认。档案专人管理，保存不少于三年，采购人有权随时查阅。</w:t>
            </w:r>
            <w:r>
              <w:br/>
            </w:r>
            <w:r>
              <w:rPr>
                <w:rFonts w:ascii="仿宋_GB2312" w:hAnsi="仿宋_GB2312" w:cs="仿宋_GB2312" w:eastAsia="仿宋_GB2312"/>
              </w:rPr>
              <w:t xml:space="preserve"> 7、主动配合残联检查、督导、验收、绩效评价及资料报送。</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标的名称：居家服务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1.服务对象</w:t>
            </w:r>
            <w:r>
              <w:br/>
            </w:r>
            <w:r>
              <w:rPr>
                <w:rFonts w:ascii="仿宋_GB2312" w:hAnsi="仿宋_GB2312" w:cs="仿宋_GB2312" w:eastAsia="仿宋_GB2312"/>
              </w:rPr>
              <w:t xml:space="preserve"> 具有陕西省蒲城县户籍、处于就业年龄段、持有《中华人民共和国残疾人证》，有托养服务需求的重度肢体残疾人，或具有蒲城县户籍、16周岁以上、持有《中华人民共和国残疾人证》、属低保或低保边缘家庭、生活不能自理、有照护需求和意愿的残疾人。</w:t>
            </w:r>
            <w:r>
              <w:br/>
            </w:r>
            <w:r>
              <w:rPr>
                <w:rFonts w:ascii="仿宋_GB2312" w:hAnsi="仿宋_GB2312" w:cs="仿宋_GB2312" w:eastAsia="仿宋_GB2312"/>
              </w:rPr>
              <w:t xml:space="preserve"> 2.服务模式</w:t>
            </w:r>
            <w:r>
              <w:br/>
            </w:r>
            <w:r>
              <w:rPr>
                <w:rFonts w:ascii="仿宋_GB2312" w:hAnsi="仿宋_GB2312" w:cs="仿宋_GB2312" w:eastAsia="仿宋_GB2312"/>
              </w:rPr>
              <w:t xml:space="preserve"> 通过机构上门方式为符合条件的残疾人，提供基本生活照料和护理、社会适应能力辅导，运动功能训练等。</w:t>
            </w:r>
            <w:r>
              <w:br/>
            </w:r>
            <w:r>
              <w:rPr>
                <w:rFonts w:ascii="仿宋_GB2312" w:hAnsi="仿宋_GB2312" w:cs="仿宋_GB2312" w:eastAsia="仿宋_GB2312"/>
              </w:rPr>
              <w:t xml:space="preserve"> 3.服务指标</w:t>
            </w:r>
            <w:r>
              <w:br/>
            </w:r>
            <w:r>
              <w:rPr>
                <w:rFonts w:ascii="仿宋_GB2312" w:hAnsi="仿宋_GB2312" w:cs="仿宋_GB2312" w:eastAsia="仿宋_GB2312"/>
              </w:rPr>
              <w:t xml:space="preserve"> 本次居家托养预估服务68人，按服务时间5个月确定为1人次，每人次购买标准2500元。个别服务对象确需长期服务或多次服务的，按具体服务时间确定人次。每人每月服务不少于2次。</w:t>
            </w:r>
            <w:r>
              <w:br/>
            </w:r>
            <w:r>
              <w:rPr>
                <w:rFonts w:ascii="仿宋_GB2312" w:hAnsi="仿宋_GB2312" w:cs="仿宋_GB2312" w:eastAsia="仿宋_GB2312"/>
              </w:rPr>
              <w:t xml:space="preserve"> 4.服务内容与标准</w:t>
            </w:r>
            <w:r>
              <w:br/>
            </w:r>
            <w:r>
              <w:rPr>
                <w:rFonts w:ascii="仿宋_GB2312" w:hAnsi="仿宋_GB2312" w:cs="仿宋_GB2312" w:eastAsia="仿宋_GB2312"/>
              </w:rPr>
              <w:t xml:space="preserve"> （1）生活照料和护理：提供做饭、送餐、居家保洁、洗衣、洗澡、理发、修剪指甲、助浴、陪同看病、取药、代为购物等服务。</w:t>
            </w:r>
            <w:r>
              <w:br/>
            </w:r>
            <w:r>
              <w:rPr>
                <w:rFonts w:ascii="仿宋_GB2312" w:hAnsi="仿宋_GB2312" w:cs="仿宋_GB2312" w:eastAsia="仿宋_GB2312"/>
              </w:rPr>
              <w:t xml:space="preserve"> （2）社会适应能力辅导：指导服务对象掌握基本社交礼仪，学习与他人沟通交流的方法，逐步适应社会交往；对情绪异常的服务对象进行心理疏导，及时记录；讲解常见诈骗手段，提醒服务对象不轻信陌生人、不随意转账，增强自我保护意识等服务。</w:t>
            </w:r>
            <w:r>
              <w:br/>
            </w:r>
            <w:r>
              <w:rPr>
                <w:rFonts w:ascii="仿宋_GB2312" w:hAnsi="仿宋_GB2312" w:cs="仿宋_GB2312" w:eastAsia="仿宋_GB2312"/>
              </w:rPr>
              <w:t xml:space="preserve"> （3）运动功能训练：根据服务对象身体状况，进行肢体功能训练、平衡训练、关节活动度训练，指导服务对象及家属掌握康复训练方法等服务。</w:t>
            </w:r>
            <w:r>
              <w:br/>
            </w:r>
            <w:r>
              <w:rPr>
                <w:rFonts w:ascii="仿宋_GB2312" w:hAnsi="仿宋_GB2312" w:cs="仿宋_GB2312" w:eastAsia="仿宋_GB2312"/>
              </w:rPr>
              <w:t xml:space="preserve"> 5.服务台账与档案管理要求</w:t>
            </w:r>
            <w:r>
              <w:br/>
            </w:r>
            <w:r>
              <w:rPr>
                <w:rFonts w:ascii="仿宋_GB2312" w:hAnsi="仿宋_GB2312" w:cs="仿宋_GB2312" w:eastAsia="仿宋_GB2312"/>
              </w:rPr>
              <w:t xml:space="preserve"> 成交供应商应为每位服务对象建立独立档案，内容包括基本信息、残疾人证复印件、健康状况评估、服务需求评估、服务计划、服务记录、满意度调查等，服务记录须经服务对象或监护人签字确认。档案专人管理，保存不少于三年，采购人有权随时查阅。</w:t>
            </w:r>
            <w:r>
              <w:br/>
            </w:r>
            <w:r>
              <w:rPr>
                <w:rFonts w:ascii="仿宋_GB2312" w:hAnsi="仿宋_GB2312" w:cs="仿宋_GB2312" w:eastAsia="仿宋_GB2312"/>
              </w:rPr>
              <w:t xml:space="preserve"> 6.主动配合残联检查、督导、验收、绩效评价及资料报送。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蒲城县残疾人联合会指定地点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蒲城县残疾人联合会指定地点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项目结束后，甲方与县财政局对乙方的服务人员数量、质量和资金使用绩效等进行检查评估验收。验收合格后，甲方根据相关规定据实结算</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项目结束后，甲方与县财政局对乙方的服务人员数量、质量和资金使用绩效等进行检查评估验收。验收合格后，甲方根据相关规定据实结算</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（二）未按合同要求提供服务或服务质量不能满足技术要求，采购人有权终止合同，甚至对供方违约行为进行追究。 （三）如有纠纷，双方友好协商解决，协商不成时可诉讼到甲方所在地人民法院解决。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（一）按《中华人民共和国民法典》中的相关条款执行。 （二）未按合同要求提供服务或服务质量不能满足技术要求，采购人有权终止合同，甚至对供方违约行为进行追究。 （三）如有纠纷，双方友好协商解决，协商不成时可诉讼到甲方所在地人民法院解决。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 ⑪《国务院办公厅关于在政府采购中实施本国产品标准及相关政策的通知》国办发〔2025〕34号； ⑫若享受以上政策优惠的企业，提供相应声明函或品目范围内产品有效认证证书。如有最新颁布的政府采购政策，按最新的文件执行。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合同签订后，中标人需将合同扫描件发送至指定联系人邮箱，邮箱地址为1347072385@qq.com，并以邮件接收时间为退付的基准时间。 3、为顺利推进政府采购电子化交易平台应用工作，供应商需要在线提交所有通过电子化交易平台实施的政府采购项目的响应文件，同时，线下提交纸质响应文件正本壹份，标明供应商名称密封递交，递交截止时间同在线递交响应电子文件截止时间一致，递交地址：西安市雁展路1111号莱安中心T6-15层。（纸质响应文件可邮寄（顺丰速运），邮件签收时间应在递交电子响应文件截止时间之前，邮寄地址：西安市雁展路1111号莱安中心T6-15层，联系人：贾彤菲，联系电话：029-81206622/81206633-833）。若电子响应文件与纸质响应文件不一致的，以电子响应文件为准。 4、为保证项目顺利实施，供应商可以报名多个采购包，但只能承担一个采购包的采购内容。评审顺序为采购包1→采购包2，依次评审。（采购包1成交供应商不进入采购包2的成交候选人排序）。 5、磋商文件中所有的商务要求均为实质性要求，供应商必须响应并满足。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完整财务会计报告（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完整财务会计报告（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分项报价表.docx 服务内容及服务邀请应答表 商务应答表 标的清单 报价表 响应函 供应商认为有必要说明的问题.docx 供应商资格条件证明文件.docx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分项报价表.docx 服务内容及服务邀请应答表 商务应答表 标的清单 报价表 响应函 供应商认为有必要说明的问题.docx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供应商针对项目特点结合采购人需求制定项目总体实施方案，包括但不限于：①项目背景理解；②项目需求分析；③服务内容与标准；每有一项缺项扣4分，每有一项内容中有缺陷，扣2分。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1详细评审--项目理解.docx</w:t>
            </w:r>
          </w:p>
        </w:tc>
      </w:tr>
      <w:tr>
        <w:tc>
          <w:tcPr>
            <w:tcW w:type="dxa" w:w="831"/>
            <w:vMerge/>
          </w:tcPr>
          <w:p/>
        </w:tc>
        <w:tc>
          <w:tcPr>
            <w:tcW w:type="dxa" w:w="1661"/>
          </w:tcPr>
          <w:p>
            <w:pPr>
              <w:pStyle w:val="null3"/>
            </w:pPr>
            <w:r>
              <w:rPr>
                <w:rFonts w:ascii="仿宋_GB2312" w:hAnsi="仿宋_GB2312" w:cs="仿宋_GB2312" w:eastAsia="仿宋_GB2312"/>
              </w:rPr>
              <w:t>寄宿制托养服务方案</w:t>
            </w:r>
          </w:p>
        </w:tc>
        <w:tc>
          <w:tcPr>
            <w:tcW w:type="dxa" w:w="2492"/>
          </w:tcPr>
          <w:p>
            <w:pPr>
              <w:pStyle w:val="null3"/>
            </w:pPr>
            <w:r>
              <w:rPr>
                <w:rFonts w:ascii="仿宋_GB2312" w:hAnsi="仿宋_GB2312" w:cs="仿宋_GB2312" w:eastAsia="仿宋_GB2312"/>
              </w:rPr>
              <w:t>供应商针对项目特点结合采购人需求制定寄宿制托养服务方案，包括但不限于：①日常生活照护方案；②个人护理方案；③康复训练方案；④文体娱乐；⑤心理支持方案；⑥安全教育方案；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2详细评审--寄宿制托养服务方案.docx</w:t>
            </w:r>
          </w:p>
        </w:tc>
      </w:tr>
      <w:tr>
        <w:tc>
          <w:tcPr>
            <w:tcW w:type="dxa" w:w="831"/>
            <w:vMerge/>
          </w:tcPr>
          <w:p/>
        </w:tc>
        <w:tc>
          <w:tcPr>
            <w:tcW w:type="dxa" w:w="1661"/>
          </w:tcPr>
          <w:p>
            <w:pPr>
              <w:pStyle w:val="null3"/>
            </w:pPr>
            <w:r>
              <w:rPr>
                <w:rFonts w:ascii="仿宋_GB2312" w:hAnsi="仿宋_GB2312" w:cs="仿宋_GB2312" w:eastAsia="仿宋_GB2312"/>
              </w:rPr>
              <w:t>配合监管与绩效管理</w:t>
            </w:r>
          </w:p>
        </w:tc>
        <w:tc>
          <w:tcPr>
            <w:tcW w:type="dxa" w:w="2492"/>
          </w:tcPr>
          <w:p>
            <w:pPr>
              <w:pStyle w:val="null3"/>
            </w:pPr>
            <w:r>
              <w:rPr>
                <w:rFonts w:ascii="仿宋_GB2312" w:hAnsi="仿宋_GB2312" w:cs="仿宋_GB2312" w:eastAsia="仿宋_GB2312"/>
              </w:rPr>
              <w:t>供应商针对项目特点结合采购人需求制定配合监管与绩效管理，包括但不限于：①日常检查配合；②督导整改机制；③验收与绩效评价；④资料报送制度；每有一项缺项扣3分，每有一项内容中有缺陷，扣1.5分。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3详细评审--配合监管与绩效管理.docx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供应商针对项目特点结合采购人需求具备满足项目需求的场地设施、无障碍设施、安全设备（包括但不限于房屋租赁合同、设施设备照片及文字说明等相关材料），包括但不限于：①拟提供的场所能全面满足项目需求，功能分区明确（居住、康复、活动、餐饮区等）；②具有相应设施设备及消防安全设施（提供设备照片）；③未达到服务要求时的处罚办法及补救措施。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4详细评审--服务保障方案.docx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供应商提供内部管理制度，包括但不限于：①出入机构管理制度；②人员聘用及培训制度；③服务质量检查制度；④卫生管理制度；⑤设施设备安全使用制度；⑥财务管理制度等；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5详细评审--内部管理制度.docx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拟投入的专职管理人员、护理人员、康复人员，且人员资质齐全、比例合理、持证上岗、有培训记录，包括但不限于：①团队人员名单、分工及职责；②相关从业证书（护理员、康复师、社工等）；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6详细评审--人员配备.docx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供应商针对项目特点结合采购人需求制定应急预案，包括但不限于：①火灾事故；②突发疾病；③走失应急；④意外伤害等。每有一项缺项扣2分，每有一项内容中有缺陷，扣1分。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7详细评审--应急预案.docx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提供供应商2023年1月1日至今(以合同签订日期为准)同类项目业绩合同，每份计1分，满分2分。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供应商针对项目特点结合采购人需求制定项目总体实施方案，包括但不限于：①项目背景理解；②项目需求分析；③服务内容与标准；每有一项缺项扣4分，每有一项内容中有缺陷，扣2分。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1详细评审--项目理解.docx</w:t>
            </w:r>
          </w:p>
        </w:tc>
      </w:tr>
      <w:tr>
        <w:tc>
          <w:tcPr>
            <w:tcW w:type="dxa" w:w="831"/>
            <w:vMerge/>
          </w:tcPr>
          <w:p/>
        </w:tc>
        <w:tc>
          <w:tcPr>
            <w:tcW w:type="dxa" w:w="1661"/>
          </w:tcPr>
          <w:p>
            <w:pPr>
              <w:pStyle w:val="null3"/>
            </w:pPr>
            <w:r>
              <w:rPr>
                <w:rFonts w:ascii="仿宋_GB2312" w:hAnsi="仿宋_GB2312" w:cs="仿宋_GB2312" w:eastAsia="仿宋_GB2312"/>
              </w:rPr>
              <w:t>居家服务服务方案</w:t>
            </w:r>
          </w:p>
        </w:tc>
        <w:tc>
          <w:tcPr>
            <w:tcW w:type="dxa" w:w="2492"/>
          </w:tcPr>
          <w:p>
            <w:pPr>
              <w:pStyle w:val="null3"/>
            </w:pPr>
            <w:r>
              <w:rPr>
                <w:rFonts w:ascii="仿宋_GB2312" w:hAnsi="仿宋_GB2312" w:cs="仿宋_GB2312" w:eastAsia="仿宋_GB2312"/>
              </w:rPr>
              <w:t>供应商针对项目特点结合采购人需求制定居家服务服务方案，包括但不限于：①生活照料和护理方案；②社会适应能力辅导方案；③运动功能训练方案；④心理疏导方案；⑤服务台账与档案管理方案；每有一项缺项扣5分，每有一项内容中有缺陷，扣2.5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2详细评审--居家服务服务方案.docx</w:t>
            </w:r>
          </w:p>
        </w:tc>
      </w:tr>
      <w:tr>
        <w:tc>
          <w:tcPr>
            <w:tcW w:type="dxa" w:w="831"/>
            <w:vMerge/>
          </w:tcPr>
          <w:p/>
        </w:tc>
        <w:tc>
          <w:tcPr>
            <w:tcW w:type="dxa" w:w="1661"/>
          </w:tcPr>
          <w:p>
            <w:pPr>
              <w:pStyle w:val="null3"/>
            </w:pPr>
            <w:r>
              <w:rPr>
                <w:rFonts w:ascii="仿宋_GB2312" w:hAnsi="仿宋_GB2312" w:cs="仿宋_GB2312" w:eastAsia="仿宋_GB2312"/>
              </w:rPr>
              <w:t>配合监管与绩效管理</w:t>
            </w:r>
          </w:p>
        </w:tc>
        <w:tc>
          <w:tcPr>
            <w:tcW w:type="dxa" w:w="2492"/>
          </w:tcPr>
          <w:p>
            <w:pPr>
              <w:pStyle w:val="null3"/>
            </w:pPr>
            <w:r>
              <w:rPr>
                <w:rFonts w:ascii="仿宋_GB2312" w:hAnsi="仿宋_GB2312" w:cs="仿宋_GB2312" w:eastAsia="仿宋_GB2312"/>
              </w:rPr>
              <w:t>供应商针对项目特点结合采购人需求制定配合监管与绩效管理，包括但不限于：①日常检查配合；②督导整改机制；③验收与绩效评价；④资料报送制度；每有一项缺项扣3分，每有一项内容中有缺陷，扣1.5分。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3详细评审--配合监管与绩效管理.docx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供应商提供服务保障方案，包括但不限于：①需求保障（“一人一案”个性化服务）；②未达到服务要求时的处罚办法及补救措施。每有一项缺项扣4分，每有一项内容中有缺陷，扣2分。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4详细评审--服务保障方案.docx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供应商提供内部管理制度，包括但不限于：①人员聘用及培训制度；②服务质量检查制度；③卫生管理制度；④设施设备安全使用制度；⑤财务管理制度等；每有一项缺项扣2分，每有一项内容中有缺陷，扣1分。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5详细评审--内部管理制度.docx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拟投入的专职管理人员、护理人员、康复人员，且人员资质齐全、比例合理、持证上岗、有培训记录，包括但不限于：①团队人员名单、分工及职责；②相关从业证书（护理员、康复师、社工等）；每有一项缺项扣6分，每有一项内容中有缺陷，扣3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6详细评审--人员配备.docx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供应商针对项目特点结合采购人需求制定应急预案，包括但不限于：①火灾事故；②突发疾病；③走失应急；④意外伤害等。每有一项缺项扣2分，每有一项内容中有缺陷，扣1分。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7详细评审--应急预案.docx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提供供应商2023年1月1日至今(以合同签订日期为准)同类项目业绩合同，每份计1分，满分3分。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详见附件：供应商认为有必要说明的问题.docx</w:t>
      </w:r>
    </w:p>
    <w:p>
      <w:pPr>
        <w:pStyle w:val="null3"/>
        <w:ind w:firstLine="960"/>
      </w:pPr>
      <w:r>
        <w:rPr>
          <w:rFonts w:ascii="仿宋_GB2312" w:hAnsi="仿宋_GB2312" w:cs="仿宋_GB2312" w:eastAsia="仿宋_GB2312"/>
        </w:rPr>
        <w:t>详见附件：1详细评审--项目理解.docx</w:t>
      </w:r>
    </w:p>
    <w:p>
      <w:pPr>
        <w:pStyle w:val="null3"/>
        <w:ind w:firstLine="960"/>
      </w:pPr>
      <w:r>
        <w:rPr>
          <w:rFonts w:ascii="仿宋_GB2312" w:hAnsi="仿宋_GB2312" w:cs="仿宋_GB2312" w:eastAsia="仿宋_GB2312"/>
        </w:rPr>
        <w:t>详见附件：2详细评审--寄宿制托养服务方案.docx</w:t>
      </w:r>
    </w:p>
    <w:p>
      <w:pPr>
        <w:pStyle w:val="null3"/>
        <w:ind w:firstLine="960"/>
      </w:pPr>
      <w:r>
        <w:rPr>
          <w:rFonts w:ascii="仿宋_GB2312" w:hAnsi="仿宋_GB2312" w:cs="仿宋_GB2312" w:eastAsia="仿宋_GB2312"/>
        </w:rPr>
        <w:t>详见附件：3详细评审--配合监管与绩效管理.docx</w:t>
      </w:r>
    </w:p>
    <w:p>
      <w:pPr>
        <w:pStyle w:val="null3"/>
        <w:ind w:firstLine="960"/>
      </w:pPr>
      <w:r>
        <w:rPr>
          <w:rFonts w:ascii="仿宋_GB2312" w:hAnsi="仿宋_GB2312" w:cs="仿宋_GB2312" w:eastAsia="仿宋_GB2312"/>
        </w:rPr>
        <w:t>详见附件：4详细评审--服务保障方案.docx</w:t>
      </w:r>
    </w:p>
    <w:p>
      <w:pPr>
        <w:pStyle w:val="null3"/>
        <w:ind w:firstLine="960"/>
      </w:pPr>
      <w:r>
        <w:rPr>
          <w:rFonts w:ascii="仿宋_GB2312" w:hAnsi="仿宋_GB2312" w:cs="仿宋_GB2312" w:eastAsia="仿宋_GB2312"/>
        </w:rPr>
        <w:t>详见附件：5详细评审--内部管理制度.docx</w:t>
      </w:r>
    </w:p>
    <w:p>
      <w:pPr>
        <w:pStyle w:val="null3"/>
        <w:ind w:firstLine="960"/>
      </w:pPr>
      <w:r>
        <w:rPr>
          <w:rFonts w:ascii="仿宋_GB2312" w:hAnsi="仿宋_GB2312" w:cs="仿宋_GB2312" w:eastAsia="仿宋_GB2312"/>
        </w:rPr>
        <w:t>详见附件：6详细评审--人员配备.docx</w:t>
      </w:r>
    </w:p>
    <w:p>
      <w:pPr>
        <w:pStyle w:val="null3"/>
        <w:ind w:firstLine="960"/>
      </w:pPr>
      <w:r>
        <w:rPr>
          <w:rFonts w:ascii="仿宋_GB2312" w:hAnsi="仿宋_GB2312" w:cs="仿宋_GB2312" w:eastAsia="仿宋_GB2312"/>
        </w:rPr>
        <w:t>详见附件：7详细评审--应急预案.docx</w:t>
      </w:r>
    </w:p>
    <w:p>
      <w:pPr>
        <w:pStyle w:val="null3"/>
        <w:ind w:firstLine="960"/>
      </w:pPr>
      <w:r>
        <w:rPr>
          <w:rFonts w:ascii="仿宋_GB2312" w:hAnsi="仿宋_GB2312" w:cs="仿宋_GB2312" w:eastAsia="仿宋_GB2312"/>
        </w:rPr>
        <w:t>详见附件：8详细评审--业绩.docx</w:t>
      </w:r>
    </w:p>
    <w:p>
      <w:pPr>
        <w:pStyle w:val="null3"/>
        <w:ind w:firstLine="960"/>
      </w:pPr>
      <w:r>
        <w:rPr>
          <w:rFonts w:ascii="仿宋_GB2312" w:hAnsi="仿宋_GB2312" w:cs="仿宋_GB2312" w:eastAsia="仿宋_GB2312"/>
        </w:rPr>
        <w:t>详见附件：供应商资格条件证明文件.docx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详见附件：供应商认为有必要说明的问题.docx</w:t>
      </w:r>
    </w:p>
    <w:p>
      <w:pPr>
        <w:pStyle w:val="null3"/>
        <w:ind w:firstLine="960"/>
      </w:pPr>
      <w:r>
        <w:rPr>
          <w:rFonts w:ascii="仿宋_GB2312" w:hAnsi="仿宋_GB2312" w:cs="仿宋_GB2312" w:eastAsia="仿宋_GB2312"/>
        </w:rPr>
        <w:t>详见附件：1详细评审--项目理解.docx</w:t>
      </w:r>
    </w:p>
    <w:p>
      <w:pPr>
        <w:pStyle w:val="null3"/>
        <w:ind w:firstLine="960"/>
      </w:pPr>
      <w:r>
        <w:rPr>
          <w:rFonts w:ascii="仿宋_GB2312" w:hAnsi="仿宋_GB2312" w:cs="仿宋_GB2312" w:eastAsia="仿宋_GB2312"/>
        </w:rPr>
        <w:t>详见附件：2详细评审--居家服务服务方案.docx</w:t>
      </w:r>
    </w:p>
    <w:p>
      <w:pPr>
        <w:pStyle w:val="null3"/>
        <w:ind w:firstLine="960"/>
      </w:pPr>
      <w:r>
        <w:rPr>
          <w:rFonts w:ascii="仿宋_GB2312" w:hAnsi="仿宋_GB2312" w:cs="仿宋_GB2312" w:eastAsia="仿宋_GB2312"/>
        </w:rPr>
        <w:t>详见附件：3详细评审--配合监管与绩效管理.docx</w:t>
      </w:r>
    </w:p>
    <w:p>
      <w:pPr>
        <w:pStyle w:val="null3"/>
        <w:ind w:firstLine="960"/>
      </w:pPr>
      <w:r>
        <w:rPr>
          <w:rFonts w:ascii="仿宋_GB2312" w:hAnsi="仿宋_GB2312" w:cs="仿宋_GB2312" w:eastAsia="仿宋_GB2312"/>
        </w:rPr>
        <w:t>详见附件：4详细评审--服务保障方案.docx</w:t>
      </w:r>
    </w:p>
    <w:p>
      <w:pPr>
        <w:pStyle w:val="null3"/>
        <w:ind w:firstLine="960"/>
      </w:pPr>
      <w:r>
        <w:rPr>
          <w:rFonts w:ascii="仿宋_GB2312" w:hAnsi="仿宋_GB2312" w:cs="仿宋_GB2312" w:eastAsia="仿宋_GB2312"/>
        </w:rPr>
        <w:t>详见附件：5详细评审--内部管理制度.docx</w:t>
      </w:r>
    </w:p>
    <w:p>
      <w:pPr>
        <w:pStyle w:val="null3"/>
        <w:ind w:firstLine="960"/>
      </w:pPr>
      <w:r>
        <w:rPr>
          <w:rFonts w:ascii="仿宋_GB2312" w:hAnsi="仿宋_GB2312" w:cs="仿宋_GB2312" w:eastAsia="仿宋_GB2312"/>
        </w:rPr>
        <w:t>详见附件：6详细评审--人员配备.docx</w:t>
      </w:r>
    </w:p>
    <w:p>
      <w:pPr>
        <w:pStyle w:val="null3"/>
        <w:ind w:firstLine="960"/>
      </w:pPr>
      <w:r>
        <w:rPr>
          <w:rFonts w:ascii="仿宋_GB2312" w:hAnsi="仿宋_GB2312" w:cs="仿宋_GB2312" w:eastAsia="仿宋_GB2312"/>
        </w:rPr>
        <w:t>详见附件：7详细评审--应急预案.docx</w:t>
      </w:r>
    </w:p>
    <w:p>
      <w:pPr>
        <w:pStyle w:val="null3"/>
        <w:ind w:firstLine="960"/>
      </w:pPr>
      <w:r>
        <w:rPr>
          <w:rFonts w:ascii="仿宋_GB2312" w:hAnsi="仿宋_GB2312" w:cs="仿宋_GB2312" w:eastAsia="仿宋_GB2312"/>
        </w:rPr>
        <w:t>详见附件：8详细评审--业绩.docx</w:t>
      </w:r>
    </w:p>
    <w:p>
      <w:pPr>
        <w:pStyle w:val="null3"/>
        <w:ind w:firstLine="960"/>
      </w:pPr>
      <w:r>
        <w:rPr>
          <w:rFonts w:ascii="仿宋_GB2312" w:hAnsi="仿宋_GB2312" w:cs="仿宋_GB2312" w:eastAsia="仿宋_GB2312"/>
        </w:rPr>
        <w:t>详见附件：供应商资格条件证明文件.docx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