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版本号：ZCSP-白水县-2025-00239-06820251011003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2025年白水县史官镇史官村环境提升设备采购项目（二次）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ZCSP-白水县-2025-00239-068</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2025年白水县史官镇史官村环境提升设备采购项目（二次）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ZCSP-白水县-2025-00239-068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2025年白水县史官镇史官村环境提升设备采购项目（二次）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采购除雪车、洒水车、打草机等设备用于史官村旅游产业环境提升。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代表身份：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3、财务状况报告：提供2024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4、社保缴纳证明：提供2025年1月1日至投标截止之日任意一个月的社会保障资金缴存单据或社保机构开具的社会保险参保缴费情况证明。依法不需要缴纳社会保障资金的投标人应提供相关证明文件；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税收缴纳证明：提供2025年1月1日至投标截止之日任意一个月的依法缴纳税收的相关凭据（时间以税款所属日期为准、税种须同时包含增值税和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6、信用记录：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9、本合同包不接受联合体投标、不允许分包：投标人提供《非联合体投标不分包声明》，视为独立投标、不分包。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董王平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0913-6155527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13259083638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采购包1：2,011,000.00元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蹲便器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蹲便器</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人与采购代理机构约定，参照国家计委关于《招标代理服务收费管理暂行办法》（计价格〔2002〕1980号）、《国家发展改革委关于降低部分建设项目收费标准规范收费行为等有关问题的通知》（发改价格〔2011〕534号），以成交价为基数计算，按标准的100%收取。根据“财库[2018]2号-财政部关于印发《政府采购代理机构管理暂行办法》的通知”第十五条规定，双方约定代理服务费由成交供应商支付，领取成交通知书时一次性付清。 开户名称：鸿民国际工程（集团）有限公司渭南分公司 开户银行：中国建设银行股份有限公司渭南朝阳大街支行 账 号：61050164500800000631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联系电话：13259083638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采购除雪车、洒水车、打草机等设备用于史官村旅游产业环境提升。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2,011,000.00</w:t>
      </w:r>
    </w:p>
    <w:p>
      <w:pPr>
        <w:pStyle w:val="null3"/>
      </w:pPr>
      <w:r>
        <w:rPr>
          <w:rFonts w:ascii="仿宋_GB2312" w:hAnsi="仿宋_GB2312" w:cs="仿宋_GB2312" w:eastAsia="仿宋_GB2312"/>
        </w:rPr>
        <w:t>采购包最高限价（元）: 2,011,000.00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 2025年白水县史官镇史官村环境提升设备采购项目（二次）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2,011,000.00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 2025年白水县史官镇史官村环境提升设备采购项目（二次）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2556"/>
                  <w:gridSpan w:val="6"/>
                </w:tcPr>
                <w:p>
                  <w:pPr>
                    <w:pStyle w:val="null3"/>
                    <w:jc w:val="center"/>
                  </w:pPr>
                  <w:r>
                    <w:rPr>
                      <w:rFonts w:ascii="仿宋_GB2312" w:hAnsi="仿宋_GB2312" w:cs="仿宋_GB2312" w:eastAsia="仿宋_GB2312"/>
                    </w:rPr>
                    <w:t>2025年白水县史官镇史官村环境提升设备采购项目（二次）规格参数表</w:t>
                  </w:r>
                </w:p>
              </w:tc>
            </w:tr>
            <w:tr>
              <w:tc>
                <w:tcPr>
                  <w:tcW w:type="dxa" w:w="426"/>
                </w:tcPr>
                <w:p>
                  <w:pPr>
                    <w:pStyle w:val="null3"/>
                    <w:jc w:val="center"/>
                  </w:pPr>
                  <w:r>
                    <w:rPr>
                      <w:rFonts w:ascii="仿宋_GB2312" w:hAnsi="仿宋_GB2312" w:cs="仿宋_GB2312" w:eastAsia="仿宋_GB2312"/>
                    </w:rPr>
                    <w:t>序号</w:t>
                  </w:r>
                </w:p>
              </w:tc>
              <w:tc>
                <w:tcPr>
                  <w:tcW w:type="dxa" w:w="426"/>
                </w:tcPr>
                <w:p>
                  <w:pPr>
                    <w:pStyle w:val="null3"/>
                    <w:jc w:val="center"/>
                  </w:pPr>
                  <w:r>
                    <w:rPr>
                      <w:rFonts w:ascii="仿宋_GB2312" w:hAnsi="仿宋_GB2312" w:cs="仿宋_GB2312" w:eastAsia="仿宋_GB2312"/>
                    </w:rPr>
                    <w:t>设备名称</w:t>
                  </w:r>
                </w:p>
              </w:tc>
              <w:tc>
                <w:tcPr>
                  <w:tcW w:type="dxa" w:w="426"/>
                </w:tcPr>
                <w:p>
                  <w:pPr>
                    <w:pStyle w:val="null3"/>
                    <w:jc w:val="center"/>
                  </w:pPr>
                  <w:r>
                    <w:rPr>
                      <w:rFonts w:ascii="仿宋_GB2312" w:hAnsi="仿宋_GB2312" w:cs="仿宋_GB2312" w:eastAsia="仿宋_GB2312"/>
                    </w:rPr>
                    <w:t>规格参数要求</w:t>
                  </w:r>
                </w:p>
              </w:tc>
              <w:tc>
                <w:tcPr>
                  <w:tcW w:type="dxa" w:w="426"/>
                </w:tcPr>
                <w:p>
                  <w:pPr>
                    <w:pStyle w:val="null3"/>
                    <w:jc w:val="center"/>
                  </w:pPr>
                  <w:r>
                    <w:rPr>
                      <w:rFonts w:ascii="仿宋_GB2312" w:hAnsi="仿宋_GB2312" w:cs="仿宋_GB2312" w:eastAsia="仿宋_GB2312"/>
                    </w:rPr>
                    <w:t>单位</w:t>
                  </w:r>
                </w:p>
              </w:tc>
              <w:tc>
                <w:tcPr>
                  <w:tcW w:type="dxa" w:w="426"/>
                </w:tcPr>
                <w:p>
                  <w:pPr>
                    <w:pStyle w:val="null3"/>
                    <w:jc w:val="center"/>
                  </w:pPr>
                  <w:r>
                    <w:rPr>
                      <w:rFonts w:ascii="仿宋_GB2312" w:hAnsi="仿宋_GB2312" w:cs="仿宋_GB2312" w:eastAsia="仿宋_GB2312"/>
                    </w:rPr>
                    <w:t>数量</w:t>
                  </w:r>
                </w:p>
              </w:tc>
              <w:tc>
                <w:tcPr>
                  <w:tcW w:type="dxa" w:w="426"/>
                </w:tcPr>
                <w:p>
                  <w:pPr>
                    <w:pStyle w:val="null3"/>
                    <w:jc w:val="center"/>
                  </w:pPr>
                  <w:r>
                    <w:rPr>
                      <w:rFonts w:ascii="仿宋_GB2312" w:hAnsi="仿宋_GB2312" w:cs="仿宋_GB2312" w:eastAsia="仿宋_GB2312"/>
                    </w:rPr>
                    <w:t>质保期</w:t>
                  </w:r>
                </w:p>
              </w:tc>
            </w:tr>
            <w:tr>
              <w:tc>
                <w:tcPr>
                  <w:tcW w:type="dxa" w:w="426"/>
                </w:tcPr>
                <w:p>
                  <w:pPr>
                    <w:pStyle w:val="null3"/>
                  </w:pPr>
                  <w:r>
                    <w:rPr>
                      <w:rFonts w:ascii="仿宋_GB2312" w:hAnsi="仿宋_GB2312" w:cs="仿宋_GB2312" w:eastAsia="仿宋_GB2312"/>
                    </w:rPr>
                    <w:t>一</w:t>
                  </w:r>
                </w:p>
              </w:tc>
              <w:tc>
                <w:tcPr>
                  <w:tcW w:type="dxa" w:w="426"/>
                </w:tcPr>
                <w:p>
                  <w:pPr>
                    <w:pStyle w:val="null3"/>
                  </w:pPr>
                  <w:r>
                    <w:rPr>
                      <w:rFonts w:ascii="仿宋_GB2312" w:hAnsi="仿宋_GB2312" w:cs="仿宋_GB2312" w:eastAsia="仿宋_GB2312"/>
                    </w:rPr>
                    <w:t>手扶式多功能除雪机</w:t>
                  </w:r>
                </w:p>
              </w:tc>
              <w:tc>
                <w:tcPr>
                  <w:tcW w:type="dxa" w:w="426"/>
                </w:tcPr>
                <w:p>
                  <w:pPr>
                    <w:pStyle w:val="null3"/>
                  </w:pPr>
                  <w:r>
                    <w:rPr>
                      <w:rFonts w:ascii="仿宋_GB2312" w:hAnsi="仿宋_GB2312" w:cs="仿宋_GB2312" w:eastAsia="仿宋_GB2312"/>
                    </w:rPr>
                    <w:t>1.启动方式:电启动与手启动兼备</w:t>
                  </w:r>
                  <w:r>
                    <w:br/>
                  </w:r>
                  <w:r>
                    <w:rPr>
                      <w:rFonts w:ascii="仿宋_GB2312" w:hAnsi="仿宋_GB2312" w:cs="仿宋_GB2312" w:eastAsia="仿宋_GB2312"/>
                    </w:rPr>
                    <w:t xml:space="preserve"> 2.传动方式:全齿轮传动或同等级可靠传动方式</w:t>
                  </w:r>
                  <w:r>
                    <w:br/>
                  </w:r>
                  <w:r>
                    <w:rPr>
                      <w:rFonts w:ascii="仿宋_GB2312" w:hAnsi="仿宋_GB2312" w:cs="仿宋_GB2312" w:eastAsia="仿宋_GB2312"/>
                    </w:rPr>
                    <w:t xml:space="preserve"> 3.档位:具备至少2个前进档和1个倒挡</w:t>
                  </w:r>
                  <w:r>
                    <w:br/>
                  </w:r>
                  <w:r>
                    <w:rPr>
                      <w:rFonts w:ascii="仿宋_GB2312" w:hAnsi="仿宋_GB2312" w:cs="仿宋_GB2312" w:eastAsia="仿宋_GB2312"/>
                    </w:rPr>
                    <w:t xml:space="preserve"> 4.滚刷:</w:t>
                  </w:r>
                  <w:r>
                    <w:br/>
                  </w:r>
                  <w:r>
                    <w:rPr>
                      <w:rFonts w:ascii="仿宋_GB2312" w:hAnsi="仿宋_GB2312" w:cs="仿宋_GB2312" w:eastAsia="仿宋_GB2312"/>
                    </w:rPr>
                    <w:t xml:space="preserve">  扫雪宽度:≥100cm</w:t>
                  </w:r>
                  <w:r>
                    <w:br/>
                  </w:r>
                  <w:r>
                    <w:rPr>
                      <w:rFonts w:ascii="仿宋_GB2312" w:hAnsi="仿宋_GB2312" w:cs="仿宋_GB2312" w:eastAsia="仿宋_GB2312"/>
                    </w:rPr>
                    <w:t xml:space="preserve">  滚刷直径:≥45cm</w:t>
                  </w:r>
                  <w:r>
                    <w:br/>
                  </w:r>
                  <w:r>
                    <w:rPr>
                      <w:rFonts w:ascii="仿宋_GB2312" w:hAnsi="仿宋_GB2312" w:cs="仿宋_GB2312" w:eastAsia="仿宋_GB2312"/>
                    </w:rPr>
                    <w:t xml:space="preserve"> 5.抛雪机:</w:t>
                  </w:r>
                  <w:r>
                    <w:br/>
                  </w:r>
                  <w:r>
                    <w:rPr>
                      <w:rFonts w:ascii="仿宋_GB2312" w:hAnsi="仿宋_GB2312" w:cs="仿宋_GB2312" w:eastAsia="仿宋_GB2312"/>
                    </w:rPr>
                    <w:t xml:space="preserve">  除雪宽度:≥65cm</w:t>
                  </w:r>
                  <w:r>
                    <w:br/>
                  </w:r>
                  <w:r>
                    <w:rPr>
                      <w:rFonts w:ascii="仿宋_GB2312" w:hAnsi="仿宋_GB2312" w:cs="仿宋_GB2312" w:eastAsia="仿宋_GB2312"/>
                    </w:rPr>
                    <w:t xml:space="preserve">  最大抛雪距离:≥8m</w:t>
                  </w:r>
                  <w:r>
                    <w:br/>
                  </w:r>
                  <w:r>
                    <w:rPr>
                      <w:rFonts w:ascii="仿宋_GB2312" w:hAnsi="仿宋_GB2312" w:cs="仿宋_GB2312" w:eastAsia="仿宋_GB2312"/>
                    </w:rPr>
                    <w:t xml:space="preserve"> 6.雪铲:</w:t>
                  </w:r>
                  <w:r>
                    <w:br/>
                  </w:r>
                  <w:r>
                    <w:rPr>
                      <w:rFonts w:ascii="仿宋_GB2312" w:hAnsi="仿宋_GB2312" w:cs="仿宋_GB2312" w:eastAsia="仿宋_GB2312"/>
                    </w:rPr>
                    <w:t xml:space="preserve">  除雪宽度:≥90cm</w:t>
                  </w:r>
                  <w:r>
                    <w:br/>
                  </w:r>
                  <w:r>
                    <w:rPr>
                      <w:rFonts w:ascii="仿宋_GB2312" w:hAnsi="仿宋_GB2312" w:cs="仿宋_GB2312" w:eastAsia="仿宋_GB2312"/>
                    </w:rPr>
                    <w:t xml:space="preserve">  除雪高度:≥45cm</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一年</w:t>
                  </w:r>
                </w:p>
              </w:tc>
            </w:tr>
            <w:tr>
              <w:tc>
                <w:tcPr>
                  <w:tcW w:type="dxa" w:w="426"/>
                </w:tcPr>
                <w:p>
                  <w:pPr>
                    <w:pStyle w:val="null3"/>
                  </w:pPr>
                  <w:r>
                    <w:rPr>
                      <w:rFonts w:ascii="仿宋_GB2312" w:hAnsi="仿宋_GB2312" w:cs="仿宋_GB2312" w:eastAsia="仿宋_GB2312"/>
                    </w:rPr>
                    <w:t>二</w:t>
                  </w:r>
                </w:p>
              </w:tc>
              <w:tc>
                <w:tcPr>
                  <w:tcW w:type="dxa" w:w="426"/>
                </w:tcPr>
                <w:p>
                  <w:pPr>
                    <w:pStyle w:val="null3"/>
                  </w:pPr>
                  <w:r>
                    <w:rPr>
                      <w:rFonts w:ascii="仿宋_GB2312" w:hAnsi="仿宋_GB2312" w:cs="仿宋_GB2312" w:eastAsia="仿宋_GB2312"/>
                    </w:rPr>
                    <w:t>洒水车</w:t>
                  </w:r>
                </w:p>
              </w:tc>
              <w:tc>
                <w:tcPr>
                  <w:tcW w:type="dxa" w:w="426"/>
                </w:tcPr>
                <w:p>
                  <w:pPr>
                    <w:pStyle w:val="null3"/>
                  </w:pPr>
                  <w:r>
                    <w:rPr>
                      <w:rFonts w:ascii="仿宋_GB2312" w:hAnsi="仿宋_GB2312" w:cs="仿宋_GB2312" w:eastAsia="仿宋_GB2312"/>
                    </w:rPr>
                    <w:t>1.燃油类型及排放阶段:柴油/国六。外形尺寸约8200*2550*3050mm（允许长度±100mm、宽度±50mm、高度±100mm的合理制造公差）。发动机额定功率≥120KW,轴距≥3800mm，额定载质量≥9200KG。</w:t>
                  </w:r>
                  <w:r>
                    <w:br/>
                  </w:r>
                  <w:r>
                    <w:rPr>
                      <w:rFonts w:ascii="仿宋_GB2312" w:hAnsi="仿宋_GB2312" w:cs="仿宋_GB2312" w:eastAsia="仿宋_GB2312"/>
                    </w:rPr>
                    <w:t xml:space="preserve"> 2.罐体容积:≥10m³（以国家工信部公告参数为准）</w:t>
                  </w:r>
                  <w:r>
                    <w:br/>
                  </w:r>
                  <w:r>
                    <w:rPr>
                      <w:rFonts w:ascii="仿宋_GB2312" w:hAnsi="仿宋_GB2312" w:cs="仿宋_GB2312" w:eastAsia="仿宋_GB2312"/>
                    </w:rPr>
                    <w:t xml:space="preserve"> 3.标配功能:</w:t>
                  </w:r>
                  <w:r>
                    <w:br/>
                  </w:r>
                  <w:r>
                    <w:rPr>
                      <w:rFonts w:ascii="仿宋_GB2312" w:hAnsi="仿宋_GB2312" w:cs="仿宋_GB2312" w:eastAsia="仿宋_GB2312"/>
                    </w:rPr>
                    <w:t xml:space="preserve">  前冲（前鸭嘴）、后洒、侧喷、高射水炮（自流炮）、自吸自排功能、罐体内部防腐。</w:t>
                  </w:r>
                  <w:r>
                    <w:br/>
                  </w:r>
                  <w:r>
                    <w:rPr>
                      <w:rFonts w:ascii="仿宋_GB2312" w:hAnsi="仿宋_GB2312" w:cs="仿宋_GB2312" w:eastAsia="仿宋_GB2312"/>
                    </w:rPr>
                    <w:t xml:space="preserve"> 4.作业参数:</w:t>
                  </w:r>
                  <w:r>
                    <w:br/>
                  </w:r>
                  <w:r>
                    <w:rPr>
                      <w:rFonts w:ascii="仿宋_GB2312" w:hAnsi="仿宋_GB2312" w:cs="仿宋_GB2312" w:eastAsia="仿宋_GB2312"/>
                    </w:rPr>
                    <w:t xml:space="preserve">  低压洒水水流量:≥45m³/h</w:t>
                  </w:r>
                  <w:r>
                    <w:br/>
                  </w:r>
                  <w:r>
                    <w:rPr>
                      <w:rFonts w:ascii="仿宋_GB2312" w:hAnsi="仿宋_GB2312" w:cs="仿宋_GB2312" w:eastAsia="仿宋_GB2312"/>
                    </w:rPr>
                    <w:t xml:space="preserve">  后水炮射程:≥35m</w:t>
                  </w:r>
                  <w:r>
                    <w:br/>
                  </w:r>
                  <w:r>
                    <w:rPr>
                      <w:rFonts w:ascii="仿宋_GB2312" w:hAnsi="仿宋_GB2312" w:cs="仿宋_GB2312" w:eastAsia="仿宋_GB2312"/>
                    </w:rPr>
                    <w:t xml:space="preserve"> 5.雾炮:</w:t>
                  </w:r>
                  <w:r>
                    <w:br/>
                  </w:r>
                  <w:r>
                    <w:rPr>
                      <w:rFonts w:ascii="仿宋_GB2312" w:hAnsi="仿宋_GB2312" w:cs="仿宋_GB2312" w:eastAsia="仿宋_GB2312"/>
                    </w:rPr>
                    <w:t xml:space="preserve">  水平最大射程:≥30m</w:t>
                  </w:r>
                  <w:r>
                    <w:br/>
                  </w:r>
                  <w:r>
                    <w:rPr>
                      <w:rFonts w:ascii="仿宋_GB2312" w:hAnsi="仿宋_GB2312" w:cs="仿宋_GB2312" w:eastAsia="仿宋_GB2312"/>
                    </w:rPr>
                    <w:t xml:space="preserve">  雾谱范围:约20-150μm</w:t>
                  </w:r>
                </w:p>
              </w:tc>
              <w:tc>
                <w:tcPr>
                  <w:tcW w:type="dxa" w:w="426"/>
                </w:tcPr>
                <w:p>
                  <w:pPr>
                    <w:pStyle w:val="null3"/>
                  </w:pPr>
                  <w:r>
                    <w:rPr>
                      <w:rFonts w:ascii="仿宋_GB2312" w:hAnsi="仿宋_GB2312" w:cs="仿宋_GB2312" w:eastAsia="仿宋_GB2312"/>
                    </w:rPr>
                    <w:t>辆</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底盘质保一年，易损件按保修手册上标注的时间，进站服务，上装质保一年，上门服务。</w:t>
                  </w:r>
                </w:p>
              </w:tc>
            </w:tr>
            <w:tr>
              <w:tc>
                <w:tcPr>
                  <w:tcW w:type="dxa" w:w="426"/>
                </w:tcPr>
                <w:p>
                  <w:pPr>
                    <w:pStyle w:val="null3"/>
                  </w:pPr>
                  <w:r>
                    <w:rPr>
                      <w:rFonts w:ascii="仿宋_GB2312" w:hAnsi="仿宋_GB2312" w:cs="仿宋_GB2312" w:eastAsia="仿宋_GB2312"/>
                    </w:rPr>
                    <w:t>三</w:t>
                  </w:r>
                </w:p>
              </w:tc>
              <w:tc>
                <w:tcPr>
                  <w:tcW w:type="dxa" w:w="426"/>
                </w:tcPr>
                <w:p>
                  <w:pPr>
                    <w:pStyle w:val="null3"/>
                  </w:pPr>
                  <w:r>
                    <w:rPr>
                      <w:rFonts w:ascii="仿宋_GB2312" w:hAnsi="仿宋_GB2312" w:cs="仿宋_GB2312" w:eastAsia="仿宋_GB2312"/>
                    </w:rPr>
                    <w:t>打草机</w:t>
                  </w:r>
                </w:p>
              </w:tc>
              <w:tc>
                <w:tcPr>
                  <w:tcW w:type="dxa" w:w="426"/>
                </w:tcPr>
                <w:p>
                  <w:pPr>
                    <w:pStyle w:val="null3"/>
                  </w:pPr>
                  <w:r>
                    <w:rPr>
                      <w:rFonts w:ascii="仿宋_GB2312" w:hAnsi="仿宋_GB2312" w:cs="仿宋_GB2312" w:eastAsia="仿宋_GB2312"/>
                    </w:rPr>
                    <w:t>1.额定功率：≥1kW</w:t>
                  </w:r>
                  <w:r>
                    <w:br/>
                  </w:r>
                  <w:r>
                    <w:rPr>
                      <w:rFonts w:ascii="仿宋_GB2312" w:hAnsi="仿宋_GB2312" w:cs="仿宋_GB2312" w:eastAsia="仿宋_GB2312"/>
                    </w:rPr>
                    <w:t xml:space="preserve"> 2.型式：背负式</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一年</w:t>
                  </w:r>
                </w:p>
              </w:tc>
            </w:tr>
            <w:tr>
              <w:tc>
                <w:tcPr>
                  <w:tcW w:type="dxa" w:w="426"/>
                </w:tcPr>
                <w:p>
                  <w:pPr>
                    <w:pStyle w:val="null3"/>
                  </w:pPr>
                  <w:r>
                    <w:rPr>
                      <w:rFonts w:ascii="仿宋_GB2312" w:hAnsi="仿宋_GB2312" w:cs="仿宋_GB2312" w:eastAsia="仿宋_GB2312"/>
                    </w:rPr>
                    <w:t>四</w:t>
                  </w:r>
                </w:p>
              </w:tc>
              <w:tc>
                <w:tcPr>
                  <w:tcW w:type="dxa" w:w="426"/>
                </w:tcPr>
                <w:p>
                  <w:pPr>
                    <w:pStyle w:val="null3"/>
                  </w:pPr>
                  <w:r>
                    <w:rPr>
                      <w:rFonts w:ascii="仿宋_GB2312" w:hAnsi="仿宋_GB2312" w:cs="仿宋_GB2312" w:eastAsia="仿宋_GB2312"/>
                    </w:rPr>
                    <w:t>雪铲</w:t>
                  </w:r>
                </w:p>
              </w:tc>
              <w:tc>
                <w:tcPr>
                  <w:tcW w:type="dxa" w:w="426"/>
                </w:tcPr>
                <w:p>
                  <w:pPr>
                    <w:pStyle w:val="null3"/>
                  </w:pPr>
                  <w:r>
                    <w:rPr>
                      <w:rFonts w:ascii="仿宋_GB2312" w:hAnsi="仿宋_GB2312" w:cs="仿宋_GB2312" w:eastAsia="仿宋_GB2312"/>
                    </w:rPr>
                    <w:t>1.雪铲作业宽度：≥2.5m</w:t>
                  </w:r>
                  <w:r>
                    <w:br/>
                  </w:r>
                  <w:r>
                    <w:rPr>
                      <w:rFonts w:ascii="仿宋_GB2312" w:hAnsi="仿宋_GB2312" w:cs="仿宋_GB2312" w:eastAsia="仿宋_GB2312"/>
                    </w:rPr>
                    <w:t xml:space="preserve"> 2.雪铲左右摆动角度：≥±25°</w:t>
                  </w:r>
                  <w:r>
                    <w:br/>
                  </w:r>
                  <w:r>
                    <w:rPr>
                      <w:rFonts w:ascii="仿宋_GB2312" w:hAnsi="仿宋_GB2312" w:cs="仿宋_GB2312" w:eastAsia="仿宋_GB2312"/>
                    </w:rPr>
                    <w:t xml:space="preserve"> 3.举升、摆动功能：由液压油缸驱动，可实现上下、左右调节。</w:t>
                  </w:r>
                  <w:r>
                    <w:br/>
                  </w:r>
                  <w:r>
                    <w:rPr>
                      <w:rFonts w:ascii="仿宋_GB2312" w:hAnsi="仿宋_GB2312" w:cs="仿宋_GB2312" w:eastAsia="仿宋_GB2312"/>
                    </w:rPr>
                    <w:t xml:space="preserve"> 4.油路布局：外置或合理布局，防止积雪、杂物存积。</w:t>
                  </w:r>
                  <w:r>
                    <w:br/>
                  </w:r>
                  <w:r>
                    <w:rPr>
                      <w:rFonts w:ascii="仿宋_GB2312" w:hAnsi="仿宋_GB2312" w:cs="仿宋_GB2312" w:eastAsia="仿宋_GB2312"/>
                    </w:rPr>
                    <w:t xml:space="preserve"> 5.铲刀材质：高强度耐磨钢板（如Q345或同等以上性能材料）。</w:t>
                  </w:r>
                  <w:r>
                    <w:br/>
                  </w:r>
                  <w:r>
                    <w:rPr>
                      <w:rFonts w:ascii="仿宋_GB2312" w:hAnsi="仿宋_GB2312" w:cs="仿宋_GB2312" w:eastAsia="仿宋_GB2312"/>
                    </w:rPr>
                    <w:t xml:space="preserve"> 6.避障方式：具备整体翻转或弹臂等自动避障功能。</w:t>
                  </w:r>
                  <w:r>
                    <w:br/>
                  </w:r>
                  <w:r>
                    <w:rPr>
                      <w:rFonts w:ascii="仿宋_GB2312" w:hAnsi="仿宋_GB2312" w:cs="仿宋_GB2312" w:eastAsia="仿宋_GB2312"/>
                    </w:rPr>
                    <w:t xml:space="preserve"> 7.控制方式：遥控控制（有线或无线），采用独立液压单元。</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质保一年，上门服务。</w:t>
                  </w:r>
                </w:p>
              </w:tc>
            </w:tr>
            <w:tr>
              <w:tc>
                <w:tcPr>
                  <w:tcW w:type="dxa" w:w="426"/>
                </w:tcPr>
                <w:p>
                  <w:pPr>
                    <w:pStyle w:val="null3"/>
                  </w:pPr>
                  <w:r>
                    <w:rPr>
                      <w:rFonts w:ascii="仿宋_GB2312" w:hAnsi="仿宋_GB2312" w:cs="仿宋_GB2312" w:eastAsia="仿宋_GB2312"/>
                    </w:rPr>
                    <w:t>五</w:t>
                  </w:r>
                </w:p>
              </w:tc>
              <w:tc>
                <w:tcPr>
                  <w:tcW w:type="dxa" w:w="426"/>
                </w:tcPr>
                <w:p>
                  <w:pPr>
                    <w:pStyle w:val="null3"/>
                  </w:pPr>
                  <w:r>
                    <w:rPr>
                      <w:rFonts w:ascii="仿宋_GB2312" w:hAnsi="仿宋_GB2312" w:cs="仿宋_GB2312" w:eastAsia="仿宋_GB2312"/>
                    </w:rPr>
                    <w:t>雪滚刷</w:t>
                  </w:r>
                </w:p>
              </w:tc>
              <w:tc>
                <w:tcPr>
                  <w:tcW w:type="dxa" w:w="426"/>
                </w:tcPr>
                <w:p>
                  <w:pPr>
                    <w:pStyle w:val="null3"/>
                  </w:pPr>
                  <w:r>
                    <w:rPr>
                      <w:rFonts w:ascii="仿宋_GB2312" w:hAnsi="仿宋_GB2312" w:cs="仿宋_GB2312" w:eastAsia="仿宋_GB2312"/>
                    </w:rPr>
                    <w:t>1.除雪滚刷宽度：≥2.5m</w:t>
                  </w:r>
                  <w:r>
                    <w:br/>
                  </w:r>
                  <w:r>
                    <w:rPr>
                      <w:rFonts w:ascii="仿宋_GB2312" w:hAnsi="仿宋_GB2312" w:cs="仿宋_GB2312" w:eastAsia="仿宋_GB2312"/>
                    </w:rPr>
                    <w:t xml:space="preserve"> 2.刷片材质：聚丙烯与钢丝混合或同等性能的复合材料。</w:t>
                  </w:r>
                  <w:r>
                    <w:br/>
                  </w:r>
                  <w:r>
                    <w:rPr>
                      <w:rFonts w:ascii="仿宋_GB2312" w:hAnsi="仿宋_GB2312" w:cs="仿宋_GB2312" w:eastAsia="仿宋_GB2312"/>
                    </w:rPr>
                    <w:t xml:space="preserve"> 3.左右调节角度：≥±25°</w:t>
                  </w:r>
                  <w:r>
                    <w:br/>
                  </w:r>
                  <w:r>
                    <w:rPr>
                      <w:rFonts w:ascii="仿宋_GB2312" w:hAnsi="仿宋_GB2312" w:cs="仿宋_GB2312" w:eastAsia="仿宋_GB2312"/>
                    </w:rPr>
                    <w:t xml:space="preserve"> 4.可越障高度：≥200mm</w:t>
                  </w:r>
                  <w:r>
                    <w:br/>
                  </w:r>
                  <w:r>
                    <w:rPr>
                      <w:rFonts w:ascii="仿宋_GB2312" w:hAnsi="仿宋_GB2312" w:cs="仿宋_GB2312" w:eastAsia="仿宋_GB2312"/>
                    </w:rPr>
                    <w:t xml:space="preserve"> 5.支撑轮：具备耐磨万向支撑轮。</w:t>
                  </w:r>
                  <w:r>
                    <w:br/>
                  </w:r>
                  <w:r>
                    <w:rPr>
                      <w:rFonts w:ascii="仿宋_GB2312" w:hAnsi="仿宋_GB2312" w:cs="仿宋_GB2312" w:eastAsia="仿宋_GB2312"/>
                    </w:rPr>
                    <w:t xml:space="preserve"> 6.连接方式：具备与车体配套的快速连接系统（能快速连接液压油路与电路）。</w:t>
                  </w:r>
                  <w:r>
                    <w:br/>
                  </w:r>
                  <w:r>
                    <w:rPr>
                      <w:rFonts w:ascii="仿宋_GB2312" w:hAnsi="仿宋_GB2312" w:cs="仿宋_GB2312" w:eastAsia="仿宋_GB2312"/>
                    </w:rPr>
                    <w:t xml:space="preserve"> 7.控制方式：遥控控制，独立液压驱动。</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质保一年，上门服务。</w:t>
                  </w:r>
                </w:p>
              </w:tc>
            </w:tr>
            <w:tr>
              <w:tc>
                <w:tcPr>
                  <w:tcW w:type="dxa" w:w="426"/>
                </w:tcPr>
                <w:p>
                  <w:pPr>
                    <w:pStyle w:val="null3"/>
                  </w:pPr>
                  <w:r>
                    <w:rPr>
                      <w:rFonts w:ascii="仿宋_GB2312" w:hAnsi="仿宋_GB2312" w:cs="仿宋_GB2312" w:eastAsia="仿宋_GB2312"/>
                    </w:rPr>
                    <w:t>六</w:t>
                  </w:r>
                </w:p>
              </w:tc>
              <w:tc>
                <w:tcPr>
                  <w:tcW w:type="dxa" w:w="426"/>
                </w:tcPr>
                <w:p>
                  <w:pPr>
                    <w:pStyle w:val="null3"/>
                  </w:pPr>
                  <w:r>
                    <w:rPr>
                      <w:rFonts w:ascii="仿宋_GB2312" w:hAnsi="仿宋_GB2312" w:cs="仿宋_GB2312" w:eastAsia="仿宋_GB2312"/>
                    </w:rPr>
                    <w:t>全封闭扫地机</w:t>
                  </w:r>
                </w:p>
              </w:tc>
              <w:tc>
                <w:tcPr>
                  <w:tcW w:type="dxa" w:w="426"/>
                </w:tcPr>
                <w:p>
                  <w:pPr>
                    <w:pStyle w:val="null3"/>
                  </w:pPr>
                  <w:r>
                    <w:rPr>
                      <w:rFonts w:ascii="仿宋_GB2312" w:hAnsi="仿宋_GB2312" w:cs="仿宋_GB2312" w:eastAsia="仿宋_GB2312"/>
                    </w:rPr>
                    <w:t>1.清扫宽度：≥1500mm</w:t>
                  </w:r>
                  <w:r>
                    <w:br/>
                  </w:r>
                  <w:r>
                    <w:rPr>
                      <w:rFonts w:ascii="仿宋_GB2312" w:hAnsi="仿宋_GB2312" w:cs="仿宋_GB2312" w:eastAsia="仿宋_GB2312"/>
                    </w:rPr>
                    <w:t xml:space="preserve"> 2.工作效率：≥10000m²/h</w:t>
                  </w:r>
                  <w:r>
                    <w:br/>
                  </w:r>
                  <w:r>
                    <w:rPr>
                      <w:rFonts w:ascii="仿宋_GB2312" w:hAnsi="仿宋_GB2312" w:cs="仿宋_GB2312" w:eastAsia="仿宋_GB2312"/>
                    </w:rPr>
                    <w:t xml:space="preserve"> 3.爬坡能力：≥20%</w:t>
                  </w:r>
                  <w:r>
                    <w:br/>
                  </w:r>
                  <w:r>
                    <w:rPr>
                      <w:rFonts w:ascii="仿宋_GB2312" w:hAnsi="仿宋_GB2312" w:cs="仿宋_GB2312" w:eastAsia="仿宋_GB2312"/>
                    </w:rPr>
                    <w:t xml:space="preserve"> 4.整车电压：48V</w:t>
                  </w:r>
                  <w:r>
                    <w:br/>
                  </w:r>
                  <w:r>
                    <w:rPr>
                      <w:rFonts w:ascii="仿宋_GB2312" w:hAnsi="仿宋_GB2312" w:cs="仿宋_GB2312" w:eastAsia="仿宋_GB2312"/>
                    </w:rPr>
                    <w:t xml:space="preserve"> 5.电池容量：≥100Ah</w:t>
                  </w:r>
                  <w:r>
                    <w:br/>
                  </w:r>
                  <w:r>
                    <w:rPr>
                      <w:rFonts w:ascii="仿宋_GB2312" w:hAnsi="仿宋_GB2312" w:cs="仿宋_GB2312" w:eastAsia="仿宋_GB2312"/>
                    </w:rPr>
                    <w:t xml:space="preserve"> 6.垃圾箱容量：≥140L</w:t>
                  </w:r>
                  <w:r>
                    <w:br/>
                  </w:r>
                  <w:r>
                    <w:rPr>
                      <w:rFonts w:ascii="仿宋_GB2312" w:hAnsi="仿宋_GB2312" w:cs="仿宋_GB2312" w:eastAsia="仿宋_GB2312"/>
                    </w:rPr>
                    <w:t xml:space="preserve"> 7.水箱容量：≥55L</w:t>
                  </w:r>
                  <w:r>
                    <w:br/>
                  </w:r>
                  <w:r>
                    <w:rPr>
                      <w:rFonts w:ascii="仿宋_GB2312" w:hAnsi="仿宋_GB2312" w:cs="仿宋_GB2312" w:eastAsia="仿宋_GB2312"/>
                    </w:rPr>
                    <w:t xml:space="preserve"> 8.主刷直径：≥250mm</w:t>
                  </w:r>
                  <w:r>
                    <w:br/>
                  </w:r>
                  <w:r>
                    <w:rPr>
                      <w:rFonts w:ascii="仿宋_GB2312" w:hAnsi="仿宋_GB2312" w:cs="仿宋_GB2312" w:eastAsia="仿宋_GB2312"/>
                    </w:rPr>
                    <w:t xml:space="preserve"> 9.边刷直径：≥450mm</w:t>
                  </w:r>
                  <w:r>
                    <w:br/>
                  </w:r>
                  <w:r>
                    <w:rPr>
                      <w:rFonts w:ascii="仿宋_GB2312" w:hAnsi="仿宋_GB2312" w:cs="仿宋_GB2312" w:eastAsia="仿宋_GB2312"/>
                    </w:rPr>
                    <w:t xml:space="preserve"> 10.最大行驶速度：≥10km/h</w:t>
                  </w:r>
                </w:p>
              </w:tc>
              <w:tc>
                <w:tcPr>
                  <w:tcW w:type="dxa" w:w="426"/>
                </w:tcPr>
                <w:p>
                  <w:pPr>
                    <w:pStyle w:val="null3"/>
                  </w:pPr>
                  <w:r>
                    <w:rPr>
                      <w:rFonts w:ascii="仿宋_GB2312" w:hAnsi="仿宋_GB2312" w:cs="仿宋_GB2312" w:eastAsia="仿宋_GB2312"/>
                    </w:rPr>
                    <w:t>辆</w:t>
                  </w:r>
                </w:p>
              </w:tc>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一年</w:t>
                  </w:r>
                </w:p>
              </w:tc>
            </w:tr>
            <w:tr>
              <w:tc>
                <w:tcPr>
                  <w:tcW w:type="dxa" w:w="426"/>
                </w:tcPr>
                <w:p>
                  <w:pPr>
                    <w:pStyle w:val="null3"/>
                  </w:pPr>
                  <w:r>
                    <w:rPr>
                      <w:rFonts w:ascii="仿宋_GB2312" w:hAnsi="仿宋_GB2312" w:cs="仿宋_GB2312" w:eastAsia="仿宋_GB2312"/>
                    </w:rPr>
                    <w:t>七</w:t>
                  </w:r>
                </w:p>
              </w:tc>
              <w:tc>
                <w:tcPr>
                  <w:tcW w:type="dxa" w:w="426"/>
                </w:tcPr>
                <w:p>
                  <w:pPr>
                    <w:pStyle w:val="null3"/>
                  </w:pPr>
                  <w:r>
                    <w:rPr>
                      <w:rFonts w:ascii="仿宋_GB2312" w:hAnsi="仿宋_GB2312" w:cs="仿宋_GB2312" w:eastAsia="仿宋_GB2312"/>
                    </w:rPr>
                    <w:t>清扫车</w:t>
                  </w:r>
                </w:p>
              </w:tc>
              <w:tc>
                <w:tcPr>
                  <w:tcW w:type="dxa" w:w="426"/>
                </w:tcPr>
                <w:p>
                  <w:pPr>
                    <w:pStyle w:val="null3"/>
                  </w:pPr>
                  <w:r>
                    <w:rPr>
                      <w:rFonts w:ascii="仿宋_GB2312" w:hAnsi="仿宋_GB2312" w:cs="仿宋_GB2312" w:eastAsia="仿宋_GB2312"/>
                    </w:rPr>
                    <w:t>1.上装系统：</w:t>
                  </w:r>
                  <w:r>
                    <w:br/>
                  </w:r>
                  <w:r>
                    <w:rPr>
                      <w:rFonts w:ascii="仿宋_GB2312" w:hAnsi="仿宋_GB2312" w:cs="仿宋_GB2312" w:eastAsia="仿宋_GB2312"/>
                    </w:rPr>
                    <w:t xml:space="preserve">  水箱容积：≥2m³</w:t>
                  </w:r>
                  <w:r>
                    <w:br/>
                  </w:r>
                  <w:r>
                    <w:rPr>
                      <w:rFonts w:ascii="仿宋_GB2312" w:hAnsi="仿宋_GB2312" w:cs="仿宋_GB2312" w:eastAsia="仿宋_GB2312"/>
                    </w:rPr>
                    <w:t xml:space="preserve">  垃圾箱容积：≥1m³</w:t>
                  </w:r>
                  <w:r>
                    <w:br/>
                  </w:r>
                  <w:r>
                    <w:rPr>
                      <w:rFonts w:ascii="仿宋_GB2312" w:hAnsi="仿宋_GB2312" w:cs="仿宋_GB2312" w:eastAsia="仿宋_GB2312"/>
                    </w:rPr>
                    <w:t xml:space="preserve"> 2.洗扫性能：</w:t>
                  </w:r>
                  <w:r>
                    <w:br/>
                  </w:r>
                  <w:r>
                    <w:rPr>
                      <w:rFonts w:ascii="仿宋_GB2312" w:hAnsi="仿宋_GB2312" w:cs="仿宋_GB2312" w:eastAsia="仿宋_GB2312"/>
                    </w:rPr>
                    <w:t xml:space="preserve">  洗扫宽度：≥1.8m</w:t>
                  </w:r>
                  <w:r>
                    <w:br/>
                  </w:r>
                  <w:r>
                    <w:rPr>
                      <w:rFonts w:ascii="仿宋_GB2312" w:hAnsi="仿宋_GB2312" w:cs="仿宋_GB2312" w:eastAsia="仿宋_GB2312"/>
                    </w:rPr>
                    <w:t xml:space="preserve">  清洗水额定压力：≥8MPa</w:t>
                  </w:r>
                  <w:r>
                    <w:br/>
                  </w:r>
                  <w:r>
                    <w:rPr>
                      <w:rFonts w:ascii="仿宋_GB2312" w:hAnsi="仿宋_GB2312" w:cs="仿宋_GB2312" w:eastAsia="仿宋_GB2312"/>
                    </w:rPr>
                    <w:t xml:space="preserve"> 3.清扫性能：</w:t>
                  </w:r>
                  <w:r>
                    <w:br/>
                  </w:r>
                  <w:r>
                    <w:rPr>
                      <w:rFonts w:ascii="仿宋_GB2312" w:hAnsi="仿宋_GB2312" w:cs="仿宋_GB2312" w:eastAsia="仿宋_GB2312"/>
                    </w:rPr>
                    <w:t xml:space="preserve">  扫盘直径：≥750mm</w:t>
                  </w:r>
                  <w:r>
                    <w:br/>
                  </w:r>
                  <w:r>
                    <w:rPr>
                      <w:rFonts w:ascii="仿宋_GB2312" w:hAnsi="仿宋_GB2312" w:cs="仿宋_GB2312" w:eastAsia="仿宋_GB2312"/>
                    </w:rPr>
                    <w:t xml:space="preserve"> 4.底盘资质：</w:t>
                  </w:r>
                  <w:r>
                    <w:br/>
                  </w:r>
                  <w:r>
                    <w:rPr>
                      <w:rFonts w:ascii="仿宋_GB2312" w:hAnsi="仿宋_GB2312" w:cs="仿宋_GB2312" w:eastAsia="仿宋_GB2312"/>
                    </w:rPr>
                    <w:t xml:space="preserve">  燃油类型及排放标准:柴油/国六。</w:t>
                  </w:r>
                  <w:r>
                    <w:br/>
                  </w:r>
                  <w:r>
                    <w:rPr>
                      <w:rFonts w:ascii="仿宋_GB2312" w:hAnsi="仿宋_GB2312" w:cs="仿宋_GB2312" w:eastAsia="仿宋_GB2312"/>
                    </w:rPr>
                    <w:t xml:space="preserve">  外形尺寸：长≤5800mm，宽≤1800mm，高≤2200mm</w:t>
                  </w:r>
                  <w:r>
                    <w:br/>
                  </w:r>
                  <w:r>
                    <w:rPr>
                      <w:rFonts w:ascii="仿宋_GB2312" w:hAnsi="仿宋_GB2312" w:cs="仿宋_GB2312" w:eastAsia="仿宋_GB2312"/>
                    </w:rPr>
                    <w:t xml:space="preserve">  轴距：≥2800mm</w:t>
                  </w:r>
                  <w:r>
                    <w:br/>
                  </w:r>
                  <w:r>
                    <w:rPr>
                      <w:rFonts w:ascii="仿宋_GB2312" w:hAnsi="仿宋_GB2312" w:cs="仿宋_GB2312" w:eastAsia="仿宋_GB2312"/>
                    </w:rPr>
                    <w:t xml:space="preserve">  底盘发动机功率：≥65kW</w:t>
                  </w:r>
                </w:p>
              </w:tc>
              <w:tc>
                <w:tcPr>
                  <w:tcW w:type="dxa" w:w="426"/>
                </w:tcPr>
                <w:p>
                  <w:pPr>
                    <w:pStyle w:val="null3"/>
                  </w:pPr>
                  <w:r>
                    <w:rPr>
                      <w:rFonts w:ascii="仿宋_GB2312" w:hAnsi="仿宋_GB2312" w:cs="仿宋_GB2312" w:eastAsia="仿宋_GB2312"/>
                    </w:rPr>
                    <w:t>辆</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底盘质保一年，易损件按保修手册上标注的时间，进站服务，上装质保一年，上门服务。</w:t>
                  </w:r>
                </w:p>
              </w:tc>
            </w:tr>
            <w:tr>
              <w:tc>
                <w:tcPr>
                  <w:tcW w:type="dxa" w:w="426"/>
                </w:tcPr>
                <w:p>
                  <w:pPr>
                    <w:pStyle w:val="null3"/>
                  </w:pPr>
                  <w:r>
                    <w:rPr>
                      <w:rFonts w:ascii="仿宋_GB2312" w:hAnsi="仿宋_GB2312" w:cs="仿宋_GB2312" w:eastAsia="仿宋_GB2312"/>
                    </w:rPr>
                    <w:t>八</w:t>
                  </w:r>
                </w:p>
              </w:tc>
              <w:tc>
                <w:tcPr>
                  <w:tcW w:type="dxa" w:w="426"/>
                </w:tcPr>
                <w:p>
                  <w:pPr>
                    <w:pStyle w:val="null3"/>
                  </w:pPr>
                  <w:r>
                    <w:rPr>
                      <w:rFonts w:ascii="仿宋_GB2312" w:hAnsi="仿宋_GB2312" w:cs="仿宋_GB2312" w:eastAsia="仿宋_GB2312"/>
                    </w:rPr>
                    <w:t>自行曲臂式升降作业平台</w:t>
                  </w:r>
                </w:p>
              </w:tc>
              <w:tc>
                <w:tcPr>
                  <w:tcW w:type="dxa" w:w="426"/>
                </w:tcPr>
                <w:p>
                  <w:pPr>
                    <w:pStyle w:val="null3"/>
                  </w:pPr>
                  <w:r>
                    <w:rPr>
                      <w:rFonts w:ascii="仿宋_GB2312" w:hAnsi="仿宋_GB2312" w:cs="仿宋_GB2312" w:eastAsia="仿宋_GB2312"/>
                    </w:rPr>
                    <w:t>1.尺寸：</w:t>
                  </w:r>
                  <w:r>
                    <w:br/>
                  </w:r>
                  <w:r>
                    <w:rPr>
                      <w:rFonts w:ascii="仿宋_GB2312" w:hAnsi="仿宋_GB2312" w:cs="仿宋_GB2312" w:eastAsia="仿宋_GB2312"/>
                    </w:rPr>
                    <w:t xml:space="preserve">  最大平台高度：≥14m</w:t>
                  </w:r>
                  <w:r>
                    <w:br/>
                  </w:r>
                  <w:r>
                    <w:rPr>
                      <w:rFonts w:ascii="仿宋_GB2312" w:hAnsi="仿宋_GB2312" w:cs="仿宋_GB2312" w:eastAsia="仿宋_GB2312"/>
                    </w:rPr>
                    <w:t xml:space="preserve">  最大水平伸距：≥7.5m</w:t>
                  </w:r>
                  <w:r>
                    <w:br/>
                  </w:r>
                  <w:r>
                    <w:rPr>
                      <w:rFonts w:ascii="仿宋_GB2312" w:hAnsi="仿宋_GB2312" w:cs="仿宋_GB2312" w:eastAsia="仿宋_GB2312"/>
                    </w:rPr>
                    <w:t xml:space="preserve">  工作平台尺寸：≥1.8m（长）×0.7m（宽）</w:t>
                  </w:r>
                  <w:r>
                    <w:br/>
                  </w:r>
                  <w:r>
                    <w:rPr>
                      <w:rFonts w:ascii="仿宋_GB2312" w:hAnsi="仿宋_GB2312" w:cs="仿宋_GB2312" w:eastAsia="仿宋_GB2312"/>
                    </w:rPr>
                    <w:t xml:space="preserve"> 2.性能：</w:t>
                  </w:r>
                  <w:r>
                    <w:br/>
                  </w:r>
                  <w:r>
                    <w:rPr>
                      <w:rFonts w:ascii="仿宋_GB2312" w:hAnsi="仿宋_GB2312" w:cs="仿宋_GB2312" w:eastAsia="仿宋_GB2312"/>
                    </w:rPr>
                    <w:t xml:space="preserve">  额定载荷：≥200kg</w:t>
                  </w:r>
                  <w:r>
                    <w:br/>
                  </w:r>
                  <w:r>
                    <w:rPr>
                      <w:rFonts w:ascii="仿宋_GB2312" w:hAnsi="仿宋_GB2312" w:cs="仿宋_GB2312" w:eastAsia="仿宋_GB2312"/>
                    </w:rPr>
                    <w:t xml:space="preserve">  转台回转角度：连续360°</w:t>
                  </w:r>
                  <w:r>
                    <w:br/>
                  </w:r>
                  <w:r>
                    <w:rPr>
                      <w:rFonts w:ascii="仿宋_GB2312" w:hAnsi="仿宋_GB2312" w:cs="仿宋_GB2312" w:eastAsia="仿宋_GB2312"/>
                    </w:rPr>
                    <w:t xml:space="preserve">  平台回转角度：≥90°</w:t>
                  </w:r>
                  <w:r>
                    <w:br/>
                  </w:r>
                  <w:r>
                    <w:rPr>
                      <w:rFonts w:ascii="仿宋_GB2312" w:hAnsi="仿宋_GB2312" w:cs="仿宋_GB2312" w:eastAsia="仿宋_GB2312"/>
                    </w:rPr>
                    <w:t xml:space="preserve"> 3.动力：</w:t>
                  </w:r>
                  <w:r>
                    <w:br/>
                  </w:r>
                  <w:r>
                    <w:rPr>
                      <w:rFonts w:ascii="仿宋_GB2312" w:hAnsi="仿宋_GB2312" w:cs="仿宋_GB2312" w:eastAsia="仿宋_GB2312"/>
                    </w:rPr>
                    <w:t xml:space="preserve">  蓄电池驱动，续航能力能满足一个标准班次的正常作业需求。</w:t>
                  </w:r>
                  <w:r>
                    <w:br/>
                  </w:r>
                  <w:r>
                    <w:rPr>
                      <w:rFonts w:ascii="仿宋_GB2312" w:hAnsi="仿宋_GB2312" w:cs="仿宋_GB2312" w:eastAsia="仿宋_GB2312"/>
                    </w:rPr>
                    <w:t xml:space="preserve">  最大爬坡度：≥25%</w:t>
                  </w:r>
                </w:p>
              </w:tc>
              <w:tc>
                <w:tcPr>
                  <w:tcW w:type="dxa" w:w="426"/>
                </w:tcPr>
                <w:p>
                  <w:pPr>
                    <w:pStyle w:val="null3"/>
                  </w:pPr>
                  <w:r>
                    <w:rPr>
                      <w:rFonts w:ascii="仿宋_GB2312" w:hAnsi="仿宋_GB2312" w:cs="仿宋_GB2312" w:eastAsia="仿宋_GB2312"/>
                    </w:rPr>
                    <w:t>辆</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整机质保两年</w:t>
                  </w:r>
                </w:p>
              </w:tc>
            </w:tr>
            <w:tr>
              <w:tc>
                <w:tcPr>
                  <w:tcW w:type="dxa" w:w="426"/>
                </w:tcPr>
                <w:p>
                  <w:pPr>
                    <w:pStyle w:val="null3"/>
                  </w:pPr>
                  <w:r>
                    <w:rPr>
                      <w:rFonts w:ascii="仿宋_GB2312" w:hAnsi="仿宋_GB2312" w:cs="仿宋_GB2312" w:eastAsia="仿宋_GB2312"/>
                    </w:rPr>
                    <w:t>九</w:t>
                  </w:r>
                </w:p>
              </w:tc>
              <w:tc>
                <w:tcPr>
                  <w:tcW w:type="dxa" w:w="426"/>
                </w:tcPr>
                <w:p>
                  <w:pPr>
                    <w:pStyle w:val="null3"/>
                  </w:pPr>
                  <w:r>
                    <w:rPr>
                      <w:rFonts w:ascii="仿宋_GB2312" w:hAnsi="仿宋_GB2312" w:cs="仿宋_GB2312" w:eastAsia="仿宋_GB2312"/>
                    </w:rPr>
                    <w:t>移动</w:t>
                  </w:r>
                  <w:r>
                    <w:br/>
                  </w:r>
                  <w:r>
                    <w:rPr>
                      <w:rFonts w:ascii="仿宋_GB2312" w:hAnsi="仿宋_GB2312" w:cs="仿宋_GB2312" w:eastAsia="仿宋_GB2312"/>
                    </w:rPr>
                    <w:t xml:space="preserve"> 厕所</w:t>
                  </w:r>
                </w:p>
              </w:tc>
              <w:tc>
                <w:tcPr>
                  <w:tcW w:type="dxa" w:w="426"/>
                </w:tcPr>
                <w:p>
                  <w:pPr>
                    <w:pStyle w:val="null3"/>
                  </w:pPr>
                  <w:r>
                    <w:rPr>
                      <w:rFonts w:ascii="仿宋_GB2312" w:hAnsi="仿宋_GB2312" w:cs="仿宋_GB2312" w:eastAsia="仿宋_GB2312"/>
                    </w:rPr>
                    <w:t>1.组成：每套为独立成品，含4个卫生间隔间。</w:t>
                  </w:r>
                  <w:r>
                    <w:br/>
                  </w:r>
                  <w:r>
                    <w:rPr>
                      <w:rFonts w:ascii="仿宋_GB2312" w:hAnsi="仿宋_GB2312" w:cs="仿宋_GB2312" w:eastAsia="仿宋_GB2312"/>
                    </w:rPr>
                    <w:t xml:space="preserve"> 2.配置：通水通电，完成内外墙、地面、顶面装修。包含洁具（成品蹲便器、洗手盆）的供应与安装。</w:t>
                  </w:r>
                  <w:r>
                    <w:br/>
                  </w:r>
                  <w:r>
                    <w:rPr>
                      <w:rFonts w:ascii="仿宋_GB2312" w:hAnsi="仿宋_GB2312" w:cs="仿宋_GB2312" w:eastAsia="仿宋_GB2312"/>
                    </w:rPr>
                    <w:t xml:space="preserve"> 3.外部尺寸：单套厕所长度不超过5.5m，宽度不超过2m，高度不超过2.5m。（注：此尺寸要求基于预定的安装场地条件）</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一年</w:t>
                  </w:r>
                </w:p>
              </w:tc>
            </w:tr>
            <w:tr>
              <w:tc>
                <w:tcPr>
                  <w:tcW w:type="dxa" w:w="2556"/>
                  <w:gridSpan w:val="6"/>
                  <w:vMerge w:val="restart"/>
                </w:tcPr>
                <w:p>
                  <w:pPr>
                    <w:pStyle w:val="null3"/>
                  </w:pPr>
                  <w:r>
                    <w:rPr>
                      <w:rFonts w:ascii="仿宋_GB2312" w:hAnsi="仿宋_GB2312" w:cs="仿宋_GB2312" w:eastAsia="仿宋_GB2312"/>
                    </w:rPr>
                    <w:t>1.报价包含设备采购后的相关培训和技术支持费用</w:t>
                  </w:r>
                  <w:r>
                    <w:br/>
                  </w:r>
                  <w:r>
                    <w:rPr>
                      <w:rFonts w:ascii="仿宋_GB2312" w:hAnsi="仿宋_GB2312" w:cs="仿宋_GB2312" w:eastAsia="仿宋_GB2312"/>
                    </w:rPr>
                    <w:t xml:space="preserve"> 2.报价含机械设备运输费，不包含上牌费、保险费</w:t>
                  </w:r>
                </w:p>
              </w:tc>
            </w:tr>
            <w:tr>
              <w:tc>
                <w:tcPr>
                  <w:tcW w:type="dxa" w:w="2556"/>
                  <w:gridSpan w:val="6"/>
                  <w:vMerge/>
                </w:tcPr>
                <w:p/>
              </w:tc>
            </w:tr>
            <w:tr>
              <w:tc>
                <w:tcPr>
                  <w:tcW w:type="dxa" w:w="2556"/>
                  <w:gridSpan w:val="6"/>
                  <w:vMerge/>
                </w:tcPr>
                <w:p/>
              </w:tc>
            </w:tr>
            <w:tr>
              <w:tc>
                <w:tcPr>
                  <w:tcW w:type="dxa" w:w="2556"/>
                  <w:gridSpan w:val="6"/>
                  <w:vMerge/>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签订合同后按采购人要求时间供货，接到采购人供货通知之日起60日历天内完成供货。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所有货物安装调试并验收合格后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 3.验收依据 （1）合同文本及合同补充文件（条款）； （2）产品的合法来源渠道证明文件、响应功能证明材料； （3）招标文件； （4）中标人的投标文件； （5）设备清单； （6）生产厂家的企业资质、货物的执行标准。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全封闭扫地机、手扶式多功能除雪机和打草机质保一年；自行曲臂式升降作业平台整机质保两年；洒水车底盘和清扫车底盘质保一年，易损件按保修手册上标注的时间，进站服务，上装质保一年，上门服务；雪铲和雪滚刷质保一年，上门服务；移动厕所质保一年。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1.本项目核心产品为：自行曲臂式升降作业平台； 2. 节能环保产品要求 2.1强制采购 本项目所采购的蹲便器为强制节能产品，投标人须提供国家确定的认证机构出具的、处于有效期内的节能产品认证证书，且认证证书需包含本次所投产品的具体型号，否则按无效投标处理。 2.2节能环保产品 投标人所投产品为“节能产品政府采购品目清单（非强制采购产品）”或“环境标志产品政府采购品目清单”内的，应提供所投产品由国家确定的认证机构出具的且处于有效期内的节能产品认证证书或中国环境标志产品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 2.供应商需在项目电子化交易系统中按要求填写《响应函》完成承诺并进行电子签章。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 2.供应商需在项目电子化交易系统中按要求填写《响应函》完成承诺并进行电子签章。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1.供应商需在项目电子化交易系统中按要求上传相应资格证明文件并进行电子签章； 2.供应商需在项目电子化交易系统中按要求填写《响应函》完成承诺并进行电子签章。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投标人代表身份</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授权代表身份证、授权代表本单位证明（在投标人单位近3个月内任意一个月缴纳的养老保险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提供2025年1月1日至投标截止之日任意一个月的社会保障资金缴存单据或社保机构开具的社会保险参保缴费情况证明。依法不需要缴纳社会保障资金的投标人应提供相关证明文件；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至投标截止之日任意一个月的依法缴纳税收的相关凭据（时间以税款所属日期为准、税种须同时包含增值税和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投标人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本合同包不接受联合体投标、不允许分包</w:t>
            </w:r>
          </w:p>
        </w:tc>
        <w:tc>
          <w:tcPr>
            <w:tcW w:type="dxa" w:w="3322"/>
          </w:tcPr>
          <w:p>
            <w:pPr>
              <w:pStyle w:val="null3"/>
            </w:pPr>
            <w:r>
              <w:rPr>
                <w:rFonts w:ascii="仿宋_GB2312" w:hAnsi="仿宋_GB2312" w:cs="仿宋_GB2312" w:eastAsia="仿宋_GB2312"/>
              </w:rPr>
              <w:t>投标人提供《非联合体投标不分包声明》，视为独立投标、不分包。</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标的清单 投标文件封面 承诺函.docx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分项报价明细表.docx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投标函 分项报价明细表.docx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投标函 商务应答表 分项报价明细表.docx 标的清单 3.产品技术参数表.docx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投标函 商务应答表 分项报价明细表.docx 标的清单 3.产品技术参数表.docx 承诺函.docx 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至投标截止之日每具有一项类似项目业绩得1分，此项满分5分；注：以投标人提供的采购合同为准（以合同签订时间为准，含首页、采购设备品牌型号页、配置清单页、签字盖章页），否则业绩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1.公司概况及业绩.docx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能提供所投产品的合法来源渠道证明文件（包括但不限于产品制造商授权、销售协议、代理协议等），每提供一项得1分，最多得5分。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2.产品的合法渠道证明文件.docx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1.投标人所投产品的技术参数和性能要求完全满足招标文件要求的得15分；参数每负偏离一项扣1分，扣完为止。 2.投标人所投产品稳定可靠、选型合理、兼容性强，满足采购方需求，保证项目运行稳定，根据响应程度计（6-8]分；投标人所投产品稳定可靠、选型合理、兼容性强，基本满足采购方需求，根据响应程度计（3-6]分；投标人所投产品稳定可靠、选型合理、兼容性强，不满足采购方需求，根据响应程度计[1-3]分；此项不提供不得分。 3.产品有详细的使用说明介绍，技术指标满足招标文件要求及用户实际使用需求且技术资料齐全，并能提供生产厂家出具的、响应的功能证明材料（包括但不限于检测报告、官网和功能截图、彩页、说明书等相关资料），每提供一项证明材料得1分，最多得7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3.产品技术参数表.docx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 1.备货、供货进度及保证措施详细完整，根据响应程度计（3-5]分；备货、供货进度及保证措施基本完整，根据响应程度计[1-3]分；未提供不得分； 2.拟投入本项目的技术、管理人员安排及责任制度合理全面，根据响应程度计（3-5]分；拟投入本项目的技术、管理人员安排及责任制度基本合理，根据响应程度计[1-3]分；未提供不得分； 3.安装、检测、调试措施完整详细，根据响应程度计（3-5]分；安装、检测、调试措施基本完整，根据响应程度计[1-3]分；未提供不得分。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制造厂家有可靠、完善的管理制度；有足够的设计、工艺、加工、检验能力；符合国内相关标准，有具体可行的质量保证承诺，保证使用单位能熟练操作维护和正常使用，需提供相应的证明文件，根据响应程度计[1-3]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5.质量保证证明文件.docx</w:t>
            </w:r>
          </w:p>
        </w:tc>
      </w:tr>
      <w:tr>
        <w:tc>
          <w:tcPr>
            <w:tcW w:type="dxa" w:w="831"/>
            <w:vMerge/>
          </w:tcPr>
          <w:p/>
        </w:tc>
        <w:tc>
          <w:tcPr>
            <w:tcW w:type="dxa" w:w="1661"/>
          </w:tcPr>
          <w:p>
            <w:pPr>
              <w:pStyle w:val="null3"/>
            </w:pPr>
            <w:r>
              <w:rPr>
                <w:rFonts w:ascii="仿宋_GB2312" w:hAnsi="仿宋_GB2312" w:cs="仿宋_GB2312" w:eastAsia="仿宋_GB2312"/>
              </w:rPr>
              <w:t>售后服务及培训计划</w:t>
            </w:r>
          </w:p>
        </w:tc>
        <w:tc>
          <w:tcPr>
            <w:tcW w:type="dxa" w:w="2492"/>
          </w:tcPr>
          <w:p>
            <w:pPr>
              <w:pStyle w:val="null3"/>
            </w:pPr>
            <w:r>
              <w:rPr>
                <w:rFonts w:ascii="仿宋_GB2312" w:hAnsi="仿宋_GB2312" w:cs="仿宋_GB2312" w:eastAsia="仿宋_GB2312"/>
              </w:rPr>
              <w:t>1.售后服务方案详细、具体、可行，根据响应程度计（2-4]分；售后服务方案基本详细、具体、可行，根据响应程度计[1-2]分；未提供不得分。 2.售后服务承诺及保证措施详细、具体，备品备件及耗材情况明确，根据响应程度计（2-4]分；售后服务承诺及保证措施基本详细、具体，备品备件及耗材情况基本明确，根据响应程度计[1-2]分；未提供不得分。 3.培训方案及培训计划详细完整，根据响应程度计（2-4]分；培训方案及培训计划基本完整，根据响应程度计[1-2]分；未提供不得分。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6.售后服务及培训计划.docx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各标人投标函中的价格分评审采用低价优先法计算，即满足招标文件要求且投标价格最低的投标报价为评标基准价，其价格分为满分。其他投标人的价格分统一按照下列公式计算： 投标报价得分=（评标基准价/投标报价）×价格权值（即30%）×100 符合招标文件规定的小微企业、监狱企业优惠条件的投标人，价格给予10%的扣除，用扣除后的价格参与评审。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详见附件：1.公司概况及业绩.docx</w:t>
      </w:r>
    </w:p>
    <w:p>
      <w:pPr>
        <w:pStyle w:val="null3"/>
        <w:ind w:firstLine="960"/>
      </w:pPr>
      <w:r>
        <w:rPr>
          <w:rFonts w:ascii="仿宋_GB2312" w:hAnsi="仿宋_GB2312" w:cs="仿宋_GB2312" w:eastAsia="仿宋_GB2312"/>
        </w:rPr>
        <w:t>详见附件：2.产品的合法渠道证明文件.docx</w:t>
      </w:r>
    </w:p>
    <w:p>
      <w:pPr>
        <w:pStyle w:val="null3"/>
        <w:ind w:firstLine="960"/>
      </w:pPr>
      <w:r>
        <w:rPr>
          <w:rFonts w:ascii="仿宋_GB2312" w:hAnsi="仿宋_GB2312" w:cs="仿宋_GB2312" w:eastAsia="仿宋_GB2312"/>
        </w:rPr>
        <w:t>详见附件：3.产品技术参数表.docx</w:t>
      </w:r>
    </w:p>
    <w:p>
      <w:pPr>
        <w:pStyle w:val="null3"/>
        <w:ind w:firstLine="960"/>
      </w:pPr>
      <w:r>
        <w:rPr>
          <w:rFonts w:ascii="仿宋_GB2312" w:hAnsi="仿宋_GB2312" w:cs="仿宋_GB2312" w:eastAsia="仿宋_GB2312"/>
        </w:rPr>
        <w:t>详见附件：4.项目实施方案.docx</w:t>
      </w:r>
    </w:p>
    <w:p>
      <w:pPr>
        <w:pStyle w:val="null3"/>
        <w:ind w:firstLine="960"/>
      </w:pPr>
      <w:r>
        <w:rPr>
          <w:rFonts w:ascii="仿宋_GB2312" w:hAnsi="仿宋_GB2312" w:cs="仿宋_GB2312" w:eastAsia="仿宋_GB2312"/>
        </w:rPr>
        <w:t>详见附件：5.质量保证证明文件.docx</w:t>
      </w:r>
    </w:p>
    <w:p>
      <w:pPr>
        <w:pStyle w:val="null3"/>
        <w:ind w:firstLine="960"/>
      </w:pPr>
      <w:r>
        <w:rPr>
          <w:rFonts w:ascii="仿宋_GB2312" w:hAnsi="仿宋_GB2312" w:cs="仿宋_GB2312" w:eastAsia="仿宋_GB2312"/>
        </w:rPr>
        <w:t>详见附件：6.售后服务及培训计划.docx</w:t>
      </w:r>
    </w:p>
    <w:p>
      <w:pPr>
        <w:pStyle w:val="null3"/>
        <w:ind w:firstLine="960"/>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