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版本号：JZDCG-2025-04020251011001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白水县2025年中央财政林草改革发展资金松材线虫病监测防控项目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JZDCG-2025-040</w:t>
      </w:r>
      <w:r>
        <w:br/>
      </w:r>
      <w:r>
        <w:br/>
      </w:r>
      <w:r>
        <w:br/>
      </w:r>
    </w:p>
    <w:p>
      <w:pPr>
        <w:pStyle w:val="null3"/>
        <w:jc w:val="center"/>
        <w:outlineLvl w:val="2"/>
      </w:pPr>
      <w:r>
        <w:rPr>
          <w:rFonts w:ascii="仿宋_GB2312" w:hAnsi="仿宋_GB2312" w:cs="仿宋_GB2312" w:eastAsia="仿宋_GB2312"/>
          <w:sz w:val="28"/>
          <w:b/>
        </w:rPr>
        <w:t>白水县林业技术推广站</w:t>
      </w:r>
    </w:p>
    <w:p>
      <w:pPr>
        <w:pStyle w:val="null3"/>
        <w:jc w:val="center"/>
        <w:outlineLvl w:val="2"/>
      </w:pPr>
      <w:r>
        <w:rPr>
          <w:rFonts w:ascii="仿宋_GB2312" w:hAnsi="仿宋_GB2312" w:cs="仿宋_GB2312" w:eastAsia="仿宋_GB2312"/>
          <w:sz w:val="28"/>
          <w:b/>
        </w:rPr>
        <w:t>陕西金准达项目管理有限责任公司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陕西金准达项目管理有限责任公司</w:t>
      </w:r>
      <w:r>
        <w:rPr>
          <w:rFonts w:ascii="仿宋_GB2312" w:hAnsi="仿宋_GB2312" w:cs="仿宋_GB2312" w:eastAsia="仿宋_GB2312"/>
        </w:rPr>
        <w:t>（以下简称“代理机构”）受</w:t>
      </w:r>
      <w:r>
        <w:rPr>
          <w:rFonts w:ascii="仿宋_GB2312" w:hAnsi="仿宋_GB2312" w:cs="仿宋_GB2312" w:eastAsia="仿宋_GB2312"/>
        </w:rPr>
        <w:t>白水县林业技术推广站</w:t>
      </w:r>
      <w:r>
        <w:rPr>
          <w:rFonts w:ascii="仿宋_GB2312" w:hAnsi="仿宋_GB2312" w:cs="仿宋_GB2312" w:eastAsia="仿宋_GB2312"/>
        </w:rPr>
        <w:t>委托，拟对</w:t>
      </w:r>
      <w:r>
        <w:rPr>
          <w:rFonts w:ascii="仿宋_GB2312" w:hAnsi="仿宋_GB2312" w:cs="仿宋_GB2312" w:eastAsia="仿宋_GB2312"/>
        </w:rPr>
        <w:t>白水县2025年中央财政林草改革发展资金松材线虫病监测防控项目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JZDCG-2025-040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白水县2025年中央财政林草改革发展资金松材线虫病监测防控项目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本项目为白水县松材线虫病防控建设及松材线虫病监测普查。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采购包1（白水县2025年中央财政林草改革发展资金松材线虫病监测防控项目）：属于专门面向中小企业采购。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1、主体资格证明：法人或者其他组织的营业执照等证明文件或者自然人身份证明；</w:t>
      </w:r>
    </w:p>
    <w:p>
      <w:pPr>
        <w:pStyle w:val="null3"/>
      </w:pPr>
      <w:r>
        <w:rPr>
          <w:rFonts w:ascii="仿宋_GB2312" w:hAnsi="仿宋_GB2312" w:cs="仿宋_GB2312" w:eastAsia="仿宋_GB2312"/>
        </w:rPr>
        <w:t>2、社会保障资金缴纳证明：自2025年04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p>
      <w:pPr>
        <w:pStyle w:val="null3"/>
      </w:pPr>
      <w:r>
        <w:rPr>
          <w:rFonts w:ascii="仿宋_GB2312" w:hAnsi="仿宋_GB2312" w:cs="仿宋_GB2312" w:eastAsia="仿宋_GB2312"/>
        </w:rPr>
        <w:t>3、税收缴纳证明：自2025年04月01日以来已缴存的至少一个月的纳税证明或完税证明，纳税证明或完税证明上应有代收机构或税务机关的公章或业务专用章。依法免税的投标人应提供相关文件证明；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中禁止参加政府采购活动的投标人；</w:t>
      </w:r>
    </w:p>
    <w:p>
      <w:pPr>
        <w:pStyle w:val="null3"/>
      </w:pPr>
      <w:r>
        <w:rPr>
          <w:rFonts w:ascii="仿宋_GB2312" w:hAnsi="仿宋_GB2312" w:cs="仿宋_GB2312" w:eastAsia="仿宋_GB2312"/>
        </w:rPr>
        <w:t>5、法定代表人授权委托书：法定代表人参加磋商的，须提供法定代表人身份证明书；法定代表人授权他人参加磋商的，须提供法定代表人委托授权书；</w:t>
      </w:r>
    </w:p>
    <w:p>
      <w:pPr>
        <w:pStyle w:val="null3"/>
      </w:pPr>
      <w:r>
        <w:rPr>
          <w:rFonts w:ascii="仿宋_GB2312" w:hAnsi="仿宋_GB2312" w:cs="仿宋_GB2312" w:eastAsia="仿宋_GB2312"/>
        </w:rPr>
        <w:t>6、无重大违法记录：参加政府采购活动前三年内在经营活动中没有重大违法记录的声明函；</w:t>
      </w:r>
    </w:p>
    <w:p>
      <w:pPr>
        <w:pStyle w:val="null3"/>
      </w:pPr>
      <w:r>
        <w:rPr>
          <w:rFonts w:ascii="仿宋_GB2312" w:hAnsi="仿宋_GB2312" w:cs="仿宋_GB2312" w:eastAsia="仿宋_GB2312"/>
        </w:rPr>
        <w:t>7、履行合同所必需的设备和专业技术能力：提供具有履行合同所必需的设备和专业技术能力的承诺函；</w:t>
      </w:r>
    </w:p>
    <w:p>
      <w:pPr>
        <w:pStyle w:val="null3"/>
      </w:pPr>
      <w:r>
        <w:rPr>
          <w:rFonts w:ascii="仿宋_GB2312" w:hAnsi="仿宋_GB2312" w:cs="仿宋_GB2312" w:eastAsia="仿宋_GB2312"/>
        </w:rPr>
        <w:t>8、本项目不接受联合体磋商：提供非联合体声明；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白水县林业技术推广站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白水县四马路东段枫叶丽都</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15353075782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陕西金准达项目管理有限责任公司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陕西省西安市高新区科技五路3号橡树星座B座902室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毕云、王军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029-89555599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开户名称：陕西金准达项目管理有限责任公司项目保证金专户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银行账号：129911244910001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和国家发改委办公厅颁发的《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白水县林业技术推广站</w:t>
      </w:r>
      <w:r>
        <w:rPr>
          <w:rFonts w:ascii="仿宋_GB2312" w:hAnsi="仿宋_GB2312" w:cs="仿宋_GB2312" w:eastAsia="仿宋_GB2312"/>
        </w:rPr>
        <w:t>和</w:t>
      </w:r>
      <w:r>
        <w:rPr>
          <w:rFonts w:ascii="仿宋_GB2312" w:hAnsi="仿宋_GB2312" w:cs="仿宋_GB2312" w:eastAsia="仿宋_GB2312"/>
        </w:rPr>
        <w:t>陕西金准达项目管理有限责任公司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白水县林业技术推广站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陕西金准达项目管理有限责任公司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白水县林业技术推广站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陕西金准达项目管理有限责任公司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联系人：毕云、王军</w:t>
      </w:r>
    </w:p>
    <w:p>
      <w:pPr>
        <w:pStyle w:val="null3"/>
      </w:pPr>
      <w:r>
        <w:rPr>
          <w:rFonts w:ascii="仿宋_GB2312" w:hAnsi="仿宋_GB2312" w:cs="仿宋_GB2312" w:eastAsia="仿宋_GB2312"/>
        </w:rPr>
        <w:t>联系电话：029-89555599</w:t>
      </w:r>
    </w:p>
    <w:p>
      <w:pPr>
        <w:pStyle w:val="null3"/>
      </w:pPr>
      <w:r>
        <w:rPr>
          <w:rFonts w:ascii="仿宋_GB2312" w:hAnsi="仿宋_GB2312" w:cs="仿宋_GB2312" w:eastAsia="仿宋_GB2312"/>
        </w:rPr>
        <w:t>地址：陕西省西安市高新区科技五路3号橡树星座B座902室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白水县松材线虫病防控建设及松材线虫病监测普查。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白水县2025年中央财政林草改革发展资金松材线虫病监测防控项目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标的名称：白水县2025年中央财政林草改革发展资金松材线虫病监测防控项目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1、松材线虫病防控建设</w:t>
            </w:r>
          </w:p>
          <w:p>
            <w:pPr>
              <w:pStyle w:val="null3"/>
            </w:pPr>
            <w:r>
              <w:rPr>
                <w:rFonts w:ascii="仿宋_GB2312" w:hAnsi="仿宋_GB2312" w:cs="仿宋_GB2312" w:eastAsia="仿宋_GB2312"/>
              </w:rPr>
              <w:t>（1）飞机喷药防控</w:t>
            </w:r>
          </w:p>
          <w:p>
            <w:pPr>
              <w:pStyle w:val="null3"/>
            </w:pPr>
            <w:r>
              <w:rPr>
                <w:rFonts w:ascii="仿宋_GB2312" w:hAnsi="仿宋_GB2312" w:cs="仿宋_GB2312" w:eastAsia="仿宋_GB2312"/>
              </w:rPr>
              <w:t>①作业地点：灵洼工区和刘家坪工区。</w:t>
            </w:r>
          </w:p>
          <w:p>
            <w:pPr>
              <w:pStyle w:val="null3"/>
            </w:pPr>
            <w:r>
              <w:rPr>
                <w:rFonts w:ascii="仿宋_GB2312" w:hAnsi="仿宋_GB2312" w:cs="仿宋_GB2312" w:eastAsia="仿宋_GB2312"/>
              </w:rPr>
              <w:t>②作业面积：10364亩。</w:t>
            </w:r>
          </w:p>
          <w:p>
            <w:pPr>
              <w:pStyle w:val="null3"/>
            </w:pPr>
            <w:r>
              <w:rPr>
                <w:rFonts w:ascii="仿宋_GB2312" w:hAnsi="仿宋_GB2312" w:cs="仿宋_GB2312" w:eastAsia="仿宋_GB2312"/>
              </w:rPr>
              <w:t>③根据飞防作业区地形地势、林木分布、林分条件和防治作业效果等选择适宜的植保无人机进行喷洒药物防治作业，药品应喷洒在树干、树冠部。</w:t>
            </w:r>
          </w:p>
          <w:p>
            <w:pPr>
              <w:pStyle w:val="null3"/>
            </w:pPr>
            <w:r>
              <w:rPr>
                <w:rFonts w:ascii="仿宋_GB2312" w:hAnsi="仿宋_GB2312" w:cs="仿宋_GB2312" w:eastAsia="仿宋_GB2312"/>
              </w:rPr>
              <w:t>④使用药品及数量：高效氯氰菊酯：100毫升/亩，喷防10364亩，农药选择应符合国家标准，具备农药生产许可证或农药生产批准文件、农药登记证、农药产品标准证。</w:t>
            </w:r>
          </w:p>
          <w:p>
            <w:pPr>
              <w:pStyle w:val="null3"/>
            </w:pPr>
            <w:r>
              <w:rPr>
                <w:rFonts w:ascii="仿宋_GB2312" w:hAnsi="仿宋_GB2312" w:cs="仿宋_GB2312" w:eastAsia="仿宋_GB2312"/>
              </w:rPr>
              <w:t>（2）释放天敌无公害防控</w:t>
            </w:r>
          </w:p>
          <w:p>
            <w:pPr>
              <w:pStyle w:val="null3"/>
            </w:pPr>
            <w:r>
              <w:rPr>
                <w:rFonts w:ascii="仿宋_GB2312" w:hAnsi="仿宋_GB2312" w:cs="仿宋_GB2312" w:eastAsia="仿宋_GB2312"/>
              </w:rPr>
              <w:t>①释放数量：投放花绒寄甲57000头</w:t>
            </w:r>
          </w:p>
          <w:p>
            <w:pPr>
              <w:pStyle w:val="null3"/>
            </w:pPr>
            <w:r>
              <w:rPr>
                <w:rFonts w:ascii="仿宋_GB2312" w:hAnsi="仿宋_GB2312" w:cs="仿宋_GB2312" w:eastAsia="仿宋_GB2312"/>
              </w:rPr>
              <w:t>②释放地点及面积：新卓林场方山森林公园沿路和各乡镇重点绿化区松林区域共1000亩。</w:t>
            </w:r>
          </w:p>
          <w:p>
            <w:pPr>
              <w:pStyle w:val="null3"/>
            </w:pPr>
            <w:r>
              <w:rPr>
                <w:rFonts w:ascii="仿宋_GB2312" w:hAnsi="仿宋_GB2312" w:cs="仿宋_GB2312" w:eastAsia="仿宋_GB2312"/>
              </w:rPr>
              <w:t>2、松材线虫病监测普查</w:t>
            </w:r>
          </w:p>
          <w:p>
            <w:pPr>
              <w:pStyle w:val="null3"/>
            </w:pPr>
            <w:r>
              <w:rPr>
                <w:rFonts w:ascii="仿宋_GB2312" w:hAnsi="仿宋_GB2312" w:cs="仿宋_GB2312" w:eastAsia="仿宋_GB2312"/>
              </w:rPr>
              <w:t>（1）按照白水县现有松林资源分布地点、松树种类、松林面积，在重点区域设立固定监测点进行日常监测，并利用松褐天牛诱捕器进行定点监测，对白水县松林健康状况进行普查，动态掌握虫害发生情况，为制定白水县松材线虫病防控提供科学支撑。</w:t>
            </w:r>
          </w:p>
          <w:p>
            <w:pPr>
              <w:pStyle w:val="null3"/>
            </w:pPr>
            <w:r>
              <w:rPr>
                <w:rFonts w:ascii="仿宋_GB2312" w:hAnsi="仿宋_GB2312" w:cs="仿宋_GB2312" w:eastAsia="仿宋_GB2312"/>
              </w:rPr>
              <w:t>（2）普查总面积：20000亩。</w:t>
            </w:r>
          </w:p>
          <w:p>
            <w:pPr>
              <w:pStyle w:val="null3"/>
            </w:pPr>
            <w:r>
              <w:rPr>
                <w:rFonts w:ascii="仿宋_GB2312" w:hAnsi="仿宋_GB2312" w:cs="仿宋_GB2312" w:eastAsia="仿宋_GB2312"/>
              </w:rPr>
              <w:t>（3）普查成果：经过底图导入、现场调查测量登记、取样并镜检、数据整理、自查和复检、数据整理汇总、质量抽查验收、完成松材线虫病疫情防控监管平台秋季普查任务并形成普查总结报告，最终报告须通过采购人审核。</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根据松材线虫病防控建设及松材线虫病监测普查具体实施内容，时间安排，科学、合理配置人员，确保服务按期完成。</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根据松材线虫病防控建设及松材线虫病监测普查具体实施内容，时间安排，科学、合理配置设施设备，确保服务按期完成。</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（1）项目实施前，供应商应进行现场勘察，根据勘察情况并综合投标方案，编制整体实施方案，实施方案经采购人审核通过后方可实施。 （2）供应商在项目实施过程中，凡适用国家、地区和行业标准的，应按照最新国家、地区和行业相关标准执行，无相关标准的，应通过采购人允许，方可执行。 （3）供应商应有充分的措施保证项目实施人员、设施设备的安全，任何安全事故均由供应商全部负责。 （4）服务期满后供应商还应免费提供不少于12个月的技术咨询服务。</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渭南市白水县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1、实施单位自查：完成自查工作，出具自查报告；对存在的问题及时进行补充完善。 2、检查验收：主管部门组织有关专家和技术人员，按照项目要求和实施方案进行验收。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在采购人确认成交供应商完成全部监测及防治服务的情况下，经双方验收合格后，并经财政部门资金审核后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（1）质量：符合国家、行业、地方的质量和规范标准。 （2）标准：符合国家、行业、地方的质量和规范标准。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财务审计报告（至少包括资产负债表、利润表、现金流量表及财务报表附注）或开标前三个月内其基本存款账户开户银行出具的资信证明及基本存款账户开户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一般资格审查证明材料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04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自2025年04月01日以来已缴存的至少一个月的纳税证明或完税证明，纳税证明或完税证明上应有代收机构或税务机关的公章或业务专用章。依法免税的投标人应提供相关文件证明；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投标人；</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法定代表人参加磋商的，须提供法定代表人身份证明书；法定代表人授权他人参加磋商的，须提供法定代表人委托授权书；</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参加政府采购活动前三年内在经营活动中没有重大违法记录的声明函；</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特殊资格审查证明材料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逐页盖章</w:t>
            </w:r>
          </w:p>
        </w:tc>
        <w:tc>
          <w:tcPr>
            <w:tcW w:type="dxa" w:w="1661"/>
          </w:tcPr>
          <w:p>
            <w:pPr>
              <w:pStyle w:val="null3"/>
            </w:pPr>
            <w:r>
              <w:rPr>
                <w:rFonts w:ascii="仿宋_GB2312" w:hAnsi="仿宋_GB2312" w:cs="仿宋_GB2312" w:eastAsia="仿宋_GB2312"/>
              </w:rPr>
              <w:t>中小企业声明函 报价表 特殊资格审查证明材料 响应文件封面 残疾人福利性单位声明函 一般资格审查证明材料 服务方案 标的清单 供应商认为有必要补充说明的事宜 供应商类似项目业绩一览表 响应函 服务内容及服务要求响应偏离表 商务要求响应偏离表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磋商文件响应内容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中小企业声明函 报价表 特殊资格审查证明材料 响应文件封面 残疾人福利性单位声明函 一般资格审查证明材料 服务方案 标的清单 供应商认为有必要补充说明的事宜 供应商类似项目业绩一览表 响应函 服务内容及服务要求响应偏离表 商务要求响应偏离表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中小企业声明函 报价表 特殊资格审查证明材料 响应文件封面 残疾人福利性单位声明函 一般资格审查证明材料 服务方案 标的清单 供应商认为有必要补充说明的事宜 供应商类似项目业绩一览表 响应函 服务内容及服务要求响应偏离表 商务要求响应偏离表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项目理解与整体规划</w:t>
            </w:r>
          </w:p>
        </w:tc>
        <w:tc>
          <w:tcPr>
            <w:tcW w:type="dxa" w:w="2492"/>
          </w:tcPr>
          <w:p>
            <w:pPr>
              <w:pStyle w:val="null3"/>
            </w:pPr>
            <w:r>
              <w:rPr>
                <w:rFonts w:ascii="仿宋_GB2312" w:hAnsi="仿宋_GB2312" w:cs="仿宋_GB2312" w:eastAsia="仿宋_GB2312"/>
              </w:rPr>
              <w:t>包含但不限于：①项目理解；②松材线虫病防控建设整体实施规划；③松材线虫病监测普查整体实施规划等内容。 1、项目解读准确，松材线虫病防控建设与监测普查实施规划详细，时间节点清晰、进度保障措施完善得(9-12]分； 2、项目解读较准确，松材线虫病防控建设与监测普查实施规划较详细，时间节点较清晰、进度保障措施较完善得(6-9]分； 3、项目解读基本满足项目需求，松材线虫病防控建设与监测普查实施规划一般，时间节点基本满足项目需求、进度保障措施一般的得(3-6]分； 4、项目解读较差，松材线虫病防控建设与监测普查实施规划较差，时间节点不明确、进度保障措施描述较差的得(0-3]分； 5、未提供项目理解与整体规划的不得分。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飞机喷药防控实施方案</w:t>
            </w:r>
          </w:p>
        </w:tc>
        <w:tc>
          <w:tcPr>
            <w:tcW w:type="dxa" w:w="2492"/>
          </w:tcPr>
          <w:p>
            <w:pPr>
              <w:pStyle w:val="null3"/>
            </w:pPr>
            <w:r>
              <w:rPr>
                <w:rFonts w:ascii="仿宋_GB2312" w:hAnsi="仿宋_GB2312" w:cs="仿宋_GB2312" w:eastAsia="仿宋_GB2312"/>
              </w:rPr>
              <w:t>包含但不限于：①飞防无人机选型、数量、配置性能等；②农药供应保障方案；③飞防作业技术方案等内容。 1、提供的飞防无人机选型、数量、配置性能合理、完善，农药供应保障措施得当，飞防作业技术方案完全满足项目采购需求的得(9-12]分； 2、提供的飞防无人机选型、数量、配置性能较合理与完善，农药供应保障措施较得当，飞防作业技术方案较好的满足项目采购需求的得(6-9]分； 3、提供的飞防无人机选型、数量、配置性能基本合理与完善，农药供应保障措施一般，飞防作业技术方案基本满足项目采购需求的得(3-6]分； 4、提供的飞防无人机选型、数量、配置性能较差，农药供应保障措施较差，飞防作业技术方案较差的得(0-3]分； 5、未提供飞机喷药防控实施方案的不得分。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释放天敌无公害防控实施方案</w:t>
            </w:r>
          </w:p>
        </w:tc>
        <w:tc>
          <w:tcPr>
            <w:tcW w:type="dxa" w:w="2492"/>
          </w:tcPr>
          <w:p>
            <w:pPr>
              <w:pStyle w:val="null3"/>
            </w:pPr>
            <w:r>
              <w:rPr>
                <w:rFonts w:ascii="仿宋_GB2312" w:hAnsi="仿宋_GB2312" w:cs="仿宋_GB2312" w:eastAsia="仿宋_GB2312"/>
              </w:rPr>
              <w:t>包含但不限于：①花绒寄甲供应保障措施；②花绒寄甲投放技术方案等内容。 1、花绒寄甲供应保障措施、花绒寄甲投放技术方案合理、完善的得(6-8]分； 2、花绒寄甲供应保障措施、花绒寄甲投放技术方案较合理、完善的得(4-6]分； 3、花绒寄甲供应保障措施、花绒寄甲投放技术方案一般的得(2-4]分； 4、花绒寄甲供应保障措施、花绒寄甲投放技术方案较差的得(0-2]分； 5、未提供花绒寄甲供应保障措施、花绒寄甲投放技术方案的不得分。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松材线虫病监测普查实施方案</w:t>
            </w:r>
          </w:p>
        </w:tc>
        <w:tc>
          <w:tcPr>
            <w:tcW w:type="dxa" w:w="2492"/>
          </w:tcPr>
          <w:p>
            <w:pPr>
              <w:pStyle w:val="null3"/>
            </w:pPr>
            <w:r>
              <w:rPr>
                <w:rFonts w:ascii="仿宋_GB2312" w:hAnsi="仿宋_GB2312" w:cs="仿宋_GB2312" w:eastAsia="仿宋_GB2312"/>
              </w:rPr>
              <w:t>包含但不限于：①日常固定监测点选择；②松褐天牛诱捕器投放点选择、投放布置；③普查数据收集、整理；④普查总结报告编制等。 1、日常固定监测点选择、松褐天牛诱捕器投放点选择、投放布置合理、数据收集整理完善，报告编制方案合理的得(9-12]分； 2、日常固定监测点选择、松褐天牛诱捕器投放点选择、投放布置较合理、数据收集整理较完善，报告编制方案较合理的得(6-9]分； 3、日常固定监测点选择、松褐天牛诱捕器投放点选择、投放布置基本合理、数据收集整理基本完善，报告编制方案基本合理得(3-6]分； 4、日常固定监测点选择、松褐天牛诱捕器投放点选择、投放布置较差、数据收集整理缺乏，报告编制方案较差的得(0-3]分； 5、未提供松材线虫病监测普查实施方案的不得分。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服务质量控制措施</w:t>
            </w:r>
          </w:p>
        </w:tc>
        <w:tc>
          <w:tcPr>
            <w:tcW w:type="dxa" w:w="2492"/>
          </w:tcPr>
          <w:p>
            <w:pPr>
              <w:pStyle w:val="null3"/>
            </w:pPr>
            <w:r>
              <w:rPr>
                <w:rFonts w:ascii="仿宋_GB2312" w:hAnsi="仿宋_GB2312" w:cs="仿宋_GB2312" w:eastAsia="仿宋_GB2312"/>
              </w:rPr>
              <w:t>包含但不限于：①服务质量目标；②服务质量保障措施；③服务质量监控考核等内容。 1、提供的质量目标明确，质量保障措施完善，质量监控考核完整、详细得(9-12]分； 2、提供的质量目标较明确，质量保障措施较完善，质量监控考核较完整、较详细得(6-9]分； 3、提供的质量目标一般，质量保障措施一般，质量监控考核一般得(3-6]分； 4、提供的质量目标不明确，质量保障措施不完善，质量监控考核较差的得(0-3]分； 5、未提供服务质量控制措施不得分。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服务人员配备</w:t>
            </w:r>
          </w:p>
        </w:tc>
        <w:tc>
          <w:tcPr>
            <w:tcW w:type="dxa" w:w="2492"/>
          </w:tcPr>
          <w:p>
            <w:pPr>
              <w:pStyle w:val="null3"/>
            </w:pPr>
            <w:r>
              <w:rPr>
                <w:rFonts w:ascii="仿宋_GB2312" w:hAnsi="仿宋_GB2312" w:cs="仿宋_GB2312" w:eastAsia="仿宋_GB2312"/>
              </w:rPr>
              <w:t>包括但不限于：①人员整体配备情况；②岗位分工及职责；③人员岗前培训等内容。 1、人员整体配备齐全、合理，岗位分工职责详细、明确；人员岗前培训完善的得(9-12]分； 2、人员整体配备较齐全合理，岗位分工职责较详细、明确；人员岗前培训较完善的得(6-9]分； 3、人员整体配备一般，岗位分工职责基本明确；人员岗前培训一般的得(3-6]分； 4、人员整体配备较差，岗位分工职责不明确；人员岗前培训较差的得(0-3]分； 5、未提供服务人员配备方案不得分。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包括但不限于：①喷洒用药存储使用安全、环境污染预防措施；②无人机作业过程中安全保障措施、③普查监测作业中人员安全保障措施等内容。 1、各安全保障措施完善、合理得(9-12]分； 2、各安全保障措施较完善、较合理得(6-9]分； 3、各安全保障措施一般得(3-6]分； 4、各安全保障措施较差得(0-3]分； 5、未提供安全保障措施的不得分。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针对项目特点提供切实可行的服务承诺，例如：项目执行中及后续服务保障等。 1、承诺内容具有实质性、指标明确，切实可行得(3-4]分； 2、承诺内容一般、指标基本明确，可行性一般得(2-3]分； 3、承诺内容空泛，可行性差得(0-2]分； 4、未提供服务承诺不得分。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提供2022年1月1日起至今完成项目类似业绩，每有1项得2分，最高得6分； 注：业绩以签订时间为准，须提供合同复印件，并加盖公章，未提供或不清晰导致无法识别的不予认可。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满足磋商文件要求且最终报价最低的供应商的价格为磋商基准价得10分，其他各供应商的最终报价得分按下列公式计算：（磋商基准价/最终磋商报价）×10％×100。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详见附件：一般资格审查证明材料</w:t>
      </w:r>
    </w:p>
    <w:p>
      <w:pPr>
        <w:pStyle w:val="null3"/>
        <w:ind w:firstLine="960"/>
      </w:pPr>
      <w:r>
        <w:rPr>
          <w:rFonts w:ascii="仿宋_GB2312" w:hAnsi="仿宋_GB2312" w:cs="仿宋_GB2312" w:eastAsia="仿宋_GB2312"/>
        </w:rPr>
        <w:t>详见附件：特殊资格审查证明材料</w:t>
      </w:r>
    </w:p>
    <w:p>
      <w:pPr>
        <w:pStyle w:val="null3"/>
        <w:ind w:firstLine="960"/>
      </w:pPr>
      <w:r>
        <w:rPr>
          <w:rFonts w:ascii="仿宋_GB2312" w:hAnsi="仿宋_GB2312" w:cs="仿宋_GB2312" w:eastAsia="仿宋_GB2312"/>
        </w:rPr>
        <w:t>详见附件：服务内容及服务要求响应偏离表</w:t>
      </w:r>
    </w:p>
    <w:p>
      <w:pPr>
        <w:pStyle w:val="null3"/>
        <w:ind w:firstLine="960"/>
      </w:pPr>
      <w:r>
        <w:rPr>
          <w:rFonts w:ascii="仿宋_GB2312" w:hAnsi="仿宋_GB2312" w:cs="仿宋_GB2312" w:eastAsia="仿宋_GB2312"/>
        </w:rPr>
        <w:t>详见附件：商务要求响应偏离表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详见附件：供应商认为有必要补充说明的事宜</w:t>
      </w:r>
    </w:p>
    <w:p>
      <w:pPr>
        <w:pStyle w:val="null3"/>
        <w:ind w:firstLine="960"/>
      </w:pPr>
      <w:r>
        <w:rPr>
          <w:rFonts w:ascii="仿宋_GB2312" w:hAnsi="仿宋_GB2312" w:cs="仿宋_GB2312" w:eastAsia="仿宋_GB2312"/>
        </w:rPr>
        <w:t>详见附件：供应商类似项目业绩一览表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