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版本号：ZCSP-白水县-2025-0024120251027003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白水县城区公园广场委托运营管理项目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ZCSP-白水县-2025-00241</w:t>
      </w:r>
      <w:r>
        <w:br/>
      </w:r>
      <w:r>
        <w:br/>
      </w:r>
      <w:r>
        <w:br/>
      </w:r>
    </w:p>
    <w:p>
      <w:pPr>
        <w:pStyle w:val="null3"/>
        <w:jc w:val="center"/>
        <w:outlineLvl w:val="2"/>
      </w:pPr>
      <w:r>
        <w:rPr>
          <w:rFonts w:ascii="仿宋_GB2312" w:hAnsi="仿宋_GB2312" w:cs="仿宋_GB2312" w:eastAsia="仿宋_GB2312"/>
          <w:sz w:val="28"/>
          <w:b/>
        </w:rPr>
        <w:t>白水县城市管理执法局</w:t>
      </w:r>
    </w:p>
    <w:p>
      <w:pPr>
        <w:pStyle w:val="null3"/>
        <w:jc w:val="center"/>
        <w:outlineLvl w:val="2"/>
      </w:pPr>
      <w:r>
        <w:rPr>
          <w:rFonts w:ascii="仿宋_GB2312" w:hAnsi="仿宋_GB2312" w:cs="仿宋_GB2312" w:eastAsia="仿宋_GB2312"/>
          <w:sz w:val="28"/>
          <w:b/>
        </w:rPr>
        <w:t>陕西宏远项目管理有限公司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陕西宏远项目管理有限公司</w:t>
      </w:r>
      <w:r>
        <w:rPr>
          <w:rFonts w:ascii="仿宋_GB2312" w:hAnsi="仿宋_GB2312" w:cs="仿宋_GB2312" w:eastAsia="仿宋_GB2312"/>
        </w:rPr>
        <w:t>（以下简称“代理机构”）受</w:t>
      </w:r>
      <w:r>
        <w:rPr>
          <w:rFonts w:ascii="仿宋_GB2312" w:hAnsi="仿宋_GB2312" w:cs="仿宋_GB2312" w:eastAsia="仿宋_GB2312"/>
        </w:rPr>
        <w:t>白水县城市管理执法局</w:t>
      </w:r>
      <w:r>
        <w:rPr>
          <w:rFonts w:ascii="仿宋_GB2312" w:hAnsi="仿宋_GB2312" w:cs="仿宋_GB2312" w:eastAsia="仿宋_GB2312"/>
        </w:rPr>
        <w:t>委托，拟对</w:t>
      </w:r>
      <w:r>
        <w:rPr>
          <w:rFonts w:ascii="仿宋_GB2312" w:hAnsi="仿宋_GB2312" w:cs="仿宋_GB2312" w:eastAsia="仿宋_GB2312"/>
        </w:rPr>
        <w:t>白水县城区公园广场委托运营管理项目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白水县城区公园广场委托运营管理项目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委托运营的城区公园广场共计19处，包括白水公园、人民广场、仓颉公园、法治公园及15处口袋公园。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采购包1（白水县城区公园广场委托运营管理项目）：属于专门面向中小企业采购。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1、营业执照：供应商须是具有独立承担民事责任能力的企业法人或自然人，企业法人应提供统一社会信用代码的营业执照；自然人提供身份证明文件；</w:t>
      </w:r>
    </w:p>
    <w:p>
      <w:pPr>
        <w:pStyle w:val="null3"/>
      </w:pPr>
      <w:r>
        <w:rPr>
          <w:rFonts w:ascii="仿宋_GB2312" w:hAnsi="仿宋_GB2312" w:cs="仿宋_GB2312" w:eastAsia="仿宋_GB2312"/>
        </w:rPr>
        <w:t>2、供应商授权：供应商应授权合法的人员参加投标全过程，其中法定代表人直接参加投标的，须出具法人身份证，并与营业执照上信息一致。法定代表人授权代表参加投标的，须出具法定代表人授权书及授权代表身份证和养老保险证明；</w:t>
      </w:r>
    </w:p>
    <w:p>
      <w:pPr>
        <w:pStyle w:val="null3"/>
      </w:pPr>
      <w:r>
        <w:rPr>
          <w:rFonts w:ascii="仿宋_GB2312" w:hAnsi="仿宋_GB2312" w:cs="仿宋_GB2312" w:eastAsia="仿宋_GB2312"/>
        </w:rPr>
        <w:t>3、税收缴纳证明和社会保障资金缴纳证明：税收缴纳证明和社会保障资金缴纳证明：①税收缴纳证明：提供截止至开标时间前一年内已缴纳的至少三个月的纳税证明或完税证明，依法免税的单位应提供相关证明材料；②社会保障资金缴纳证明：提供截止至开标时间前一年内至今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5、供应商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6、提供参加本次政府采购活动前三年内在经营活动中没有重大违法记录的书面声明：提供参加本次政府采购活动前三年内在经营活动中没有重大违法记录的书面声明；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7、提供具有履行合同所必须的设备和专业技术能力的承诺书：提供具有履行合同所必须的设备和专业技术能力的承诺书；</w:t>
      </w:r>
    </w:p>
    <w:p>
      <w:pPr>
        <w:pStyle w:val="null3"/>
      </w:pPr>
      <w:r>
        <w:rPr>
          <w:rFonts w:ascii="仿宋_GB2312" w:hAnsi="仿宋_GB2312" w:cs="仿宋_GB2312" w:eastAsia="仿宋_GB2312"/>
        </w:rPr>
        <w:t>8、控股关系：单位负责人为同一人或者存在直接控股、管理关系的不同供应商，不得参加同一合同项下的政府采购活动；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白水县双创中心10楼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15091279318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陕西宏远项目管理有限公司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渭南市临渭区仓程路华盛公寓1716室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吝朴玉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19191626406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白水县城市管理执法局</w:t>
      </w:r>
      <w:r>
        <w:rPr>
          <w:rFonts w:ascii="仿宋_GB2312" w:hAnsi="仿宋_GB2312" w:cs="仿宋_GB2312" w:eastAsia="仿宋_GB2312"/>
        </w:rPr>
        <w:t>和</w:t>
      </w:r>
      <w:r>
        <w:rPr>
          <w:rFonts w:ascii="仿宋_GB2312" w:hAnsi="仿宋_GB2312" w:cs="仿宋_GB2312" w:eastAsia="仿宋_GB2312"/>
        </w:rPr>
        <w:t>陕西宏远项目管理有限公司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白水县城市管理执法局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陕西宏远项目管理有限公司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陕西宏远项目管理有限公司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陕西宏远项目管理有限公司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陕西宏远项目管理有限公司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陕西宏远项目管理有限公司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联系人：吝朴玉</w:t>
      </w:r>
    </w:p>
    <w:p>
      <w:pPr>
        <w:pStyle w:val="null3"/>
      </w:pPr>
      <w:r>
        <w:rPr>
          <w:rFonts w:ascii="仿宋_GB2312" w:hAnsi="仿宋_GB2312" w:cs="仿宋_GB2312" w:eastAsia="仿宋_GB2312"/>
        </w:rPr>
        <w:t>联系电话：19191626406</w:t>
      </w:r>
    </w:p>
    <w:p>
      <w:pPr>
        <w:pStyle w:val="null3"/>
      </w:pPr>
      <w:r>
        <w:rPr>
          <w:rFonts w:ascii="仿宋_GB2312" w:hAnsi="仿宋_GB2312" w:cs="仿宋_GB2312" w:eastAsia="仿宋_GB2312"/>
        </w:rPr>
        <w:t>地址：渭南市临渭区仓程路华盛公寓1716室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该项目委托运营的城区公园广场共计 19 处，包括白水公园、人民广场、仓颉公园、法治公园及15 处口袋公园。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4,280,000.00</w:t>
      </w:r>
    </w:p>
    <w:p>
      <w:pPr>
        <w:pStyle w:val="null3"/>
      </w:pPr>
      <w:r>
        <w:rPr>
          <w:rFonts w:ascii="仿宋_GB2312" w:hAnsi="仿宋_GB2312" w:cs="仿宋_GB2312" w:eastAsia="仿宋_GB2312"/>
        </w:rPr>
        <w:t>采购包最高限价（元）: 4,280,000.00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白水县城区公园广场委托运营管理项目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白水县城区公园广场委托运营管理项目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3"/>
                <w:b/>
                <w:color w:val="000000"/>
              </w:rPr>
              <w:t xml:space="preserve"> </w:t>
            </w:r>
            <w:r>
              <w:rPr>
                <w:rFonts w:ascii="仿宋_GB2312" w:hAnsi="仿宋_GB2312" w:cs="仿宋_GB2312" w:eastAsia="仿宋_GB2312"/>
                <w:sz w:val="43"/>
                <w:b/>
                <w:color w:val="000000"/>
              </w:rPr>
              <w:t>采购内容及要求</w:t>
            </w:r>
          </w:p>
          <w:p>
            <w:pPr>
              <w:pStyle w:val="null3"/>
              <w:ind w:firstLine="480"/>
              <w:jc w:val="left"/>
            </w:pPr>
            <w:r>
              <w:rPr>
                <w:rFonts w:ascii="仿宋_GB2312" w:hAnsi="仿宋_GB2312" w:cs="仿宋_GB2312" w:eastAsia="仿宋_GB2312"/>
                <w:sz w:val="24"/>
                <w:color w:val="000000"/>
              </w:rPr>
              <w:t>一、项目内容</w:t>
            </w:r>
          </w:p>
          <w:p>
            <w:pPr>
              <w:pStyle w:val="null3"/>
              <w:ind w:firstLine="480"/>
              <w:jc w:val="left"/>
            </w:pPr>
            <w:r>
              <w:rPr>
                <w:rFonts w:ascii="仿宋_GB2312" w:hAnsi="仿宋_GB2312" w:cs="仿宋_GB2312" w:eastAsia="仿宋_GB2312"/>
                <w:sz w:val="24"/>
                <w:color w:val="000000"/>
              </w:rPr>
              <w:t>委托运营的城区公园广场共计</w:t>
            </w:r>
            <w:r>
              <w:rPr>
                <w:rFonts w:ascii="仿宋_GB2312" w:hAnsi="仿宋_GB2312" w:cs="仿宋_GB2312" w:eastAsia="仿宋_GB2312"/>
                <w:sz w:val="24"/>
                <w:color w:val="000000"/>
              </w:rPr>
              <w:t>19处，包括白水公园、人民广场、仓颉公园、法治公园及15处口袋公园；服务内容包括：</w:t>
            </w:r>
          </w:p>
          <w:p>
            <w:pPr>
              <w:pStyle w:val="null3"/>
              <w:ind w:firstLine="480"/>
              <w:jc w:val="left"/>
            </w:pPr>
            <w:r>
              <w:rPr>
                <w:rFonts w:ascii="仿宋_GB2312" w:hAnsi="仿宋_GB2312" w:cs="仿宋_GB2312" w:eastAsia="仿宋_GB2312"/>
                <w:sz w:val="24"/>
                <w:color w:val="000000"/>
              </w:rPr>
              <w:t>建立健全公园管理制度、管理运行机制；公园内绿地及绿化植物的养护和管理；公园内环境卫生清洁维护，垃圾的收集、清运；公园内房屋建筑、园林小品、景观灯等设施设备的看护、小型维修及相关安全秩序的维护；公园内建筑物、构筑物、广场道路、座椅等设施及水、电设施设备的小型维修等日常养护和管理；保持公园设备设施、绿化景观和园容园貌良好，维护正常游览秩序；制止破坏公园设施的行为，若发生破坏，依法要求责任人赔偿；建立公园档案，并依法予以妥善保存，管理物业相关工程图纸、档案及竣工验收资料；配备维保，执行安全管理规范，保障公园经营游览等活动安全。引导公众、志愿者参与公园管理服务活动；车辆停放秩序的管理；区域内公厕的日常保洁、看护、设施设备的小型维修、日常养护和管理；监督物业区域内的外来单位施工，杜绝违法违章施工和非施工作业审批范围以外的公共场地及设施的破坏，如发生破坏及时查处破坏单位要求其及时回复，如因巡查不及时未查处破坏单位，择由养护单位负责恢复原有绿化。</w:t>
            </w:r>
          </w:p>
          <w:p>
            <w:pPr>
              <w:pStyle w:val="null3"/>
              <w:ind w:firstLine="480"/>
              <w:jc w:val="left"/>
            </w:pPr>
            <w:r>
              <w:rPr>
                <w:rFonts w:ascii="仿宋_GB2312" w:hAnsi="仿宋_GB2312" w:cs="仿宋_GB2312" w:eastAsia="仿宋_GB2312"/>
                <w:sz w:val="24"/>
                <w:color w:val="000000"/>
              </w:rPr>
              <w:t>二、服务标准及考核办法</w:t>
            </w:r>
          </w:p>
          <w:p>
            <w:pPr>
              <w:pStyle w:val="null3"/>
              <w:ind w:firstLine="480"/>
              <w:jc w:val="both"/>
            </w:pPr>
            <w:r>
              <w:rPr>
                <w:rFonts w:ascii="仿宋_GB2312" w:hAnsi="仿宋_GB2312" w:cs="仿宋_GB2312" w:eastAsia="仿宋_GB2312"/>
                <w:sz w:val="24"/>
                <w:color w:val="000000"/>
              </w:rPr>
              <w:t>1、公园、广场管理、绿化养护、公厕管理服务等按照相关《绿化养护管理标准 2025版》执行，及《公园（广场）公厕管理考评标准及得分统计表》执行。</w:t>
            </w:r>
          </w:p>
          <w:p>
            <w:pPr>
              <w:pStyle w:val="null3"/>
              <w:ind w:firstLine="480"/>
              <w:jc w:val="both"/>
            </w:pPr>
            <w:r>
              <w:rPr>
                <w:rFonts w:ascii="仿宋_GB2312" w:hAnsi="仿宋_GB2312" w:cs="仿宋_GB2312" w:eastAsia="仿宋_GB2312"/>
                <w:sz w:val="24"/>
                <w:color w:val="000000"/>
              </w:rPr>
              <w:t>2、生产物资（肥料、农药、油漆、清洁剂等）所选材料必须保证质量可靠，符合国家相关标准，满足使用要求。</w:t>
            </w:r>
          </w:p>
          <w:p>
            <w:pPr>
              <w:pStyle w:val="null3"/>
              <w:ind w:firstLine="480"/>
              <w:jc w:val="both"/>
            </w:pPr>
            <w:r>
              <w:rPr>
                <w:rFonts w:ascii="仿宋_GB2312" w:hAnsi="仿宋_GB2312" w:cs="仿宋_GB2312" w:eastAsia="仿宋_GB2312"/>
                <w:sz w:val="24"/>
                <w:color w:val="000000"/>
              </w:rPr>
              <w:t>3、所使用机械设备应符合国家有关规范和标准。</w:t>
            </w:r>
          </w:p>
          <w:p>
            <w:pPr>
              <w:pStyle w:val="null3"/>
              <w:ind w:firstLine="480"/>
              <w:jc w:val="both"/>
            </w:pPr>
            <w:r>
              <w:rPr>
                <w:rFonts w:ascii="仿宋_GB2312" w:hAnsi="仿宋_GB2312" w:cs="仿宋_GB2312" w:eastAsia="仿宋_GB2312"/>
                <w:sz w:val="24"/>
                <w:color w:val="000000"/>
              </w:rPr>
              <w:t>4、备有物资仓库，生产物资及设备需满足日常作业的需求并满足突发事件应急需求储备。</w:t>
            </w:r>
          </w:p>
          <w:p>
            <w:pPr>
              <w:pStyle w:val="null3"/>
              <w:ind w:firstLine="480"/>
              <w:jc w:val="both"/>
            </w:pPr>
            <w:r>
              <w:rPr>
                <w:rFonts w:ascii="仿宋_GB2312" w:hAnsi="仿宋_GB2312" w:cs="仿宋_GB2312" w:eastAsia="仿宋_GB2312"/>
                <w:sz w:val="24"/>
                <w:color w:val="000000"/>
              </w:rPr>
              <w:t>5、物资仓库需满足国家有关规定和标准，杜绝安全隐患。</w:t>
            </w:r>
          </w:p>
          <w:p>
            <w:pPr>
              <w:pStyle w:val="null3"/>
              <w:ind w:firstLine="480"/>
              <w:jc w:val="both"/>
            </w:pPr>
            <w:r>
              <w:rPr>
                <w:rFonts w:ascii="仿宋_GB2312" w:hAnsi="仿宋_GB2312" w:cs="仿宋_GB2312" w:eastAsia="仿宋_GB2312"/>
                <w:sz w:val="24"/>
                <w:color w:val="000000"/>
              </w:rPr>
              <w:t>6、绿化养护成活率95%，铺装完好率95%，设施设备完好</w:t>
            </w:r>
            <w:r>
              <w:rPr>
                <w:rFonts w:ascii="仿宋_GB2312" w:hAnsi="仿宋_GB2312" w:cs="仿宋_GB2312" w:eastAsia="仿宋_GB2312"/>
                <w:sz w:val="24"/>
                <w:color w:val="000000"/>
              </w:rPr>
              <w:t>率95%</w:t>
            </w:r>
            <w:r>
              <w:rPr>
                <w:rFonts w:ascii="仿宋_GB2312" w:hAnsi="仿宋_GB2312" w:cs="仿宋_GB2312" w:eastAsia="仿宋_GB2312"/>
                <w:sz w:val="24"/>
                <w:color w:val="000000"/>
              </w:rPr>
              <w:t>，公厕正常使用开放</w:t>
            </w:r>
            <w:r>
              <w:rPr>
                <w:rFonts w:ascii="仿宋_GB2312" w:hAnsi="仿宋_GB2312" w:cs="仿宋_GB2312" w:eastAsia="仿宋_GB2312"/>
                <w:sz w:val="24"/>
                <w:color w:val="000000"/>
              </w:rPr>
              <w:t>率95%</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三、项目预算和付款方法</w:t>
            </w:r>
          </w:p>
          <w:p>
            <w:pPr>
              <w:pStyle w:val="null3"/>
              <w:ind w:firstLine="480"/>
              <w:jc w:val="left"/>
            </w:pPr>
            <w:r>
              <w:rPr>
                <w:rFonts w:ascii="仿宋_GB2312" w:hAnsi="仿宋_GB2312" w:cs="仿宋_GB2312" w:eastAsia="仿宋_GB2312"/>
                <w:sz w:val="24"/>
                <w:color w:val="000000"/>
              </w:rPr>
              <w:t>（一）项目预算</w:t>
            </w:r>
          </w:p>
          <w:p>
            <w:pPr>
              <w:pStyle w:val="null3"/>
              <w:ind w:firstLine="480"/>
              <w:jc w:val="left"/>
            </w:pPr>
            <w:r>
              <w:rPr>
                <w:rFonts w:ascii="仿宋_GB2312" w:hAnsi="仿宋_GB2312" w:cs="仿宋_GB2312" w:eastAsia="仿宋_GB2312"/>
                <w:sz w:val="24"/>
                <w:color w:val="000000"/>
              </w:rPr>
              <w:t>服务费用包括：</w:t>
            </w:r>
            <w:r>
              <w:rPr>
                <w:rFonts w:ascii="仿宋_GB2312" w:hAnsi="仿宋_GB2312" w:cs="仿宋_GB2312" w:eastAsia="仿宋_GB2312"/>
                <w:sz w:val="24"/>
                <w:color w:val="000000"/>
              </w:rPr>
              <w:t>人工费（含管理人员、保洁人员、维保人员、绿化养护人员、各工种维修人员等相关工资）、水费（含公厕、硬化绿化保洁冲洗、绿化养护浇灌等产生的全部自来水费）、电费（含现已交付正常使用的照明、设备等运行产生的全部电费）、小型设施维护费等</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（二）付款方式及依据</w:t>
            </w:r>
          </w:p>
          <w:p>
            <w:pPr>
              <w:pStyle w:val="null3"/>
              <w:ind w:firstLine="480"/>
              <w:jc w:val="left"/>
            </w:pPr>
            <w:r>
              <w:rPr>
                <w:rFonts w:ascii="仿宋_GB2312" w:hAnsi="仿宋_GB2312" w:cs="仿宋_GB2312" w:eastAsia="仿宋_GB2312"/>
                <w:sz w:val="24"/>
                <w:color w:val="000000"/>
              </w:rPr>
              <w:t>1、付款方式：按照当月养护面积与养护单价据实结算基数，根据每月考评得分分值计算本月应付服务费用。</w:t>
            </w:r>
          </w:p>
          <w:p>
            <w:pPr>
              <w:pStyle w:val="null3"/>
              <w:ind w:firstLine="480"/>
              <w:jc w:val="left"/>
            </w:pPr>
            <w:r>
              <w:rPr>
                <w:rFonts w:ascii="仿宋_GB2312" w:hAnsi="仿宋_GB2312" w:cs="仿宋_GB2312" w:eastAsia="仿宋_GB2312"/>
                <w:sz w:val="24"/>
                <w:color w:val="000000"/>
              </w:rPr>
              <w:t>2、依据：招标文件、投标文件、等额发票、考核打分、评分结果作为月付款结算的依据。</w:t>
            </w:r>
          </w:p>
          <w:p>
            <w:pPr>
              <w:pStyle w:val="null3"/>
              <w:ind w:firstLine="480"/>
              <w:jc w:val="left"/>
            </w:pPr>
            <w:r>
              <w:rPr>
                <w:rFonts w:ascii="仿宋_GB2312" w:hAnsi="仿宋_GB2312" w:cs="仿宋_GB2312" w:eastAsia="仿宋_GB2312"/>
                <w:sz w:val="24"/>
                <w:color w:val="000000"/>
              </w:rPr>
              <w:t>四、服务期限</w:t>
            </w:r>
          </w:p>
          <w:p>
            <w:pPr>
              <w:pStyle w:val="null3"/>
              <w:ind w:firstLine="480"/>
              <w:jc w:val="left"/>
            </w:pPr>
            <w:r>
              <w:rPr>
                <w:rFonts w:ascii="仿宋_GB2312" w:hAnsi="仿宋_GB2312" w:cs="仿宋_GB2312" w:eastAsia="仿宋_GB2312"/>
                <w:sz w:val="24"/>
                <w:color w:val="000000"/>
              </w:rPr>
              <w:t>一年（具体以合同签订日期为准）。</w:t>
            </w:r>
          </w:p>
          <w:p>
            <w:pPr>
              <w:pStyle w:val="null3"/>
              <w:jc w:val="both"/>
            </w:pPr>
            <w:r>
              <w:rPr>
                <w:rFonts w:ascii="仿宋_GB2312" w:hAnsi="仿宋_GB2312" w:cs="仿宋_GB2312" w:eastAsia="仿宋_GB2312"/>
                <w:sz w:val="24"/>
                <w:color w:val="000000"/>
              </w:rPr>
              <w:t xml:space="preserve">  五、</w:t>
            </w:r>
            <w:r>
              <w:rPr>
                <w:rFonts w:ascii="仿宋_GB2312" w:hAnsi="仿宋_GB2312" w:cs="仿宋_GB2312" w:eastAsia="仿宋_GB2312"/>
                <w:sz w:val="24"/>
                <w:color w:val="000000"/>
              </w:rPr>
              <w:t>其他新增公园和招投标范围外城区公园广场管理按照本次招投标费用标准一事一议据实结算。设施维护和设备更新据实结算</w:t>
            </w:r>
            <w:r>
              <w:rPr>
                <w:rFonts w:ascii="仿宋_GB2312" w:hAnsi="仿宋_GB2312" w:cs="仿宋_GB2312" w:eastAsia="仿宋_GB2312"/>
                <w:sz w:val="24"/>
                <w:color w:val="000000"/>
              </w:rPr>
              <w:t>。</w:t>
            </w:r>
          </w:p>
          <w:p>
            <w:pPr>
              <w:pStyle w:val="null3"/>
              <w:ind w:firstLine="480"/>
              <w:jc w:val="left"/>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白水县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甲方按月考核，逐月支付乙方人员工资和水电费。乙方提供符合甲方财务要求的票据或凭证</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领取中标通知书时，提交纸质投标文件正本壹份、副本贰份、电子版叁份（U盘壹份注明单位名称）编辑目录和页码，内容和通过电子化交易平台实施的政府采购项目提交的投标文件一致。纸质投标文件正副本分别胶装（投标文件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服务内容及服务邀请应答表 中小企业声明函 商务应答表 供应商承诺书.docx 资格证明文件.docx 投标函 残疾人福利性单位声明函 标的清单 投标文件封面 服务方案说明.docx 监狱企业的证明文件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服务内容及服务邀请应答表 中小企业声明函 残疾人福利性单位声明函 商务应答表 标的清单 投标文件封面 服务方案说明.docx 资格证明文件.docx 供应商承诺书.docx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服务内容及服务邀请应答表 中小企业声明函 商务应答表 资格证明文件.docx 供应商承诺书.docx 投标函 残疾人福利性单位声明函 标的清单 投标文件封面 服务方案说明.docx 监狱企业的证明文件 分项报价表.pdf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供应商须是具有独立承担民事责任能力的企业法人或自然人，企业法人应提供统一社会信用代码的营业执照；自然人提供身份证明文件；</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资格证明文件.docx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并与营业执照上信息一致。法定代表人授权代表参加投标的，须出具法定代表人授权书及授权代表身份证和养老保险证明；</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税收缴纳证明和社会保障资金缴纳证明：①税收缴纳证明：提供截止至开标时间前一年内已缴纳的至少三个月的纳税证明或完税证明，依法免税的单位应提供相关证明材料；②社会保障资金缴纳证明：提供截止至开标时间前一年内至今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服务方案说明.docx 资格证明文件.docx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投标文件未按照采购文件规定要求签署、盖章；(2)不满足本招标文件中“服务时间、服务地点、采购资金的支付方式及约定”的实质性条款要求；(3)投标有效期不足或无有效期；(4)报价超过招标文件中规定的最高限价；(5)法律、法规和招标文件规定的其他无效情形。</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标的清单 投标文件封面 服务方案说明.docx 资格证明文件.docx 供应商承诺书.docx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对本项目的工作内容理解清晰、全面，能清楚描述本次工作任务目标。 ①分析详尽全面，具体描述合理得当得10分； ②分析比较全面，具体描述比较合理得6分； ③分析不充分，具体描述有欠妥当得3分； ④未提供得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根据项目具体情况制定详细的公园内绿地及绿化植物的养护和管理；公园内环境卫生清洁维护，垃圾的收集、清运；地雕、浮雕、雕塑、古亭、廊架等设施设备的看护、小型维修及相关安全秩序的维护。 ①项目实施服务方案详实、具体、切实可行、科学合理， 针对性强，赋分10分； ②项目实施服务方案较细致、大部分响应内容可行、合理，赋分6分； ③项目实施服务方案模糊、目标不明确赋分3分。 ④未提供得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有针对本项目突发状况的应急预案措施（包含但不限于节假日及重大活动绿化养护预案、雨雪及恶劣天气应急预案、突发情况应急预案措施等）。 ①紧急情况分析详尽全面，应对措施合理得当得10分； ②紧急情况分析比较全面，应对措施比较合理得6分； ③紧急情况分析不充分，应对措施有欠妥当得3分； 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针对本项目有具体可行的服务质量自检及整改措施。 ①措施科学合理，针对性强，确保工作优质、高效、高质量完成，赋分6分； ②措施方法可行、措施内容大致合理，基本能完成工作任务，赋分3分； ③措施方法不合理，措施内容不详实，赋分1分。 ④未提供得0分。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针对本项目成立专门的服务团队。 1.针对本项目制定详细的人员配备。所配人员满足要求、健康状况良好、科学合理，经过严格培训，能够胜任采购人的各项工作。 ①人员配备全面，经验丰富，具体岗位职责合理同时具备相关证书得10分； ②人员比较全面，经验较为丰富，具体岗位职责比较合理同时具备相关证书得7分； ③人员欠缺，经验不足，证书欠缺，具体岗位职责有欠妥当得 3 分； ④未提供得 0 分。 2.企业人员内部管理考核制度。 ①内部管理考核制度内容全面，详细、可行性高得8分； ②内部管理考核制度内容较全面得5分； ③内部管理考核制度内容一般得3分； ④未提供得0分。 3.具有详细的内部管理架构、人员岗位规范制度、管理条例及风险控制制度、环境管理制度。 ①架构及制度内容全面，详细、可行性高得5分； ②架构及制度内容较全面得3分； ③架构及制度内容一般得 1分； ④未提供得0分。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根据项目具体情况建立健全公园管理制度、管理运行机制。 ①制度方案详实、具体、切实可行、科学合理，针对性强，赋分10分； ②制度方案较细致、大部分响应内容可行、合理，赋分 6分； ③制度方案模糊、目标不明确赋分3分。 ④未提供得0分。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针对本项目配备的车辆、工器具、设施设备、专业工作车辆、设备停放场地、办公场所的完整性以及管理保障措施等。 ①保障措施科学合理，针对性强，确保工作优质、高效、高质量完成，赋分8分； ②保障措施方法可行、措施内容大致合理，基本能完成工作任务，赋分5分； ③措施方法不合理，措施内容不详实，赋分2分。 ④未提供得0分。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各供应商应完整、准确地表述出针对本次项目的服务承诺（包含针对本项目的服务质量目标、服务期限及服务过程中的人员到岗情况等） ①承诺内容可操作性强、细节描述详细、完整优越得8分； ②有相对的操作性、承诺内容良好得5分； ③承诺不完善、勉强能满足采购需求得2分。 ④未提供得0分。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详见附件：服务方案说明.docx</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