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版本号：ZBZB-2025-275620251023001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仓颉手植柏保护防雷项目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ZBZB-2025-2756</w:t>
      </w:r>
      <w:r>
        <w:br/>
      </w:r>
      <w:r>
        <w:br/>
      </w:r>
      <w:r>
        <w:br/>
      </w:r>
    </w:p>
    <w:p>
      <w:pPr>
        <w:pStyle w:val="null3"/>
        <w:jc w:val="center"/>
        <w:outlineLvl w:val="2"/>
      </w:pPr>
      <w:r>
        <w:rPr>
          <w:rFonts w:ascii="仿宋_GB2312" w:hAnsi="仿宋_GB2312" w:cs="仿宋_GB2312" w:eastAsia="仿宋_GB2312"/>
          <w:sz w:val="28"/>
          <w:b/>
        </w:rPr>
        <w:t>白水县林业局</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白水县林业局</w:t>
      </w:r>
      <w:r>
        <w:rPr>
          <w:rFonts w:ascii="仿宋_GB2312" w:hAnsi="仿宋_GB2312" w:cs="仿宋_GB2312" w:eastAsia="仿宋_GB2312"/>
        </w:rPr>
        <w:t>委托，拟对</w:t>
      </w:r>
      <w:r>
        <w:rPr>
          <w:rFonts w:ascii="仿宋_GB2312" w:hAnsi="仿宋_GB2312" w:cs="仿宋_GB2312" w:eastAsia="仿宋_GB2312"/>
        </w:rPr>
        <w:t>仓颉手植柏保护防雷项目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ZBZB-2025-2756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仓颉手植柏保护防雷项目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仓颉手植柏保护防雷项目，具体详见工程量清单。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采购包1（仓颉手植柏保护防雷项目）：属于专门面向中小企业采购。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2、企业资质：具备建设行政主管部门核发的特种工程专业承包资质，不分等级（特种防雷）资质并在人员、设备、资金等方面具备相应的施工能力，且具有有效的安全生产许可证。</w:t>
      </w:r>
    </w:p>
    <w:p>
      <w:pPr>
        <w:pStyle w:val="null3"/>
      </w:pPr>
      <w:r>
        <w:rPr>
          <w:rFonts w:ascii="仿宋_GB2312" w:hAnsi="仿宋_GB2312" w:cs="仿宋_GB2312" w:eastAsia="仿宋_GB2312"/>
        </w:rPr>
        <w:t>3、项目经理资质：拟派项目经理须具备机电工程专业二级(含二级)及以上注册建造师或建筑工程专业注册建造师二级(含二级)及以上资格和有效的安全生产考核合格证书；</w:t>
      </w:r>
    </w:p>
    <w:p>
      <w:pPr>
        <w:pStyle w:val="null3"/>
      </w:pPr>
      <w:r>
        <w:rPr>
          <w:rFonts w:ascii="仿宋_GB2312" w:hAnsi="仿宋_GB2312" w:cs="仿宋_GB2312" w:eastAsia="仿宋_GB2312"/>
        </w:rPr>
        <w:t>4、授权书或法定证明：法定代表人授权书（附法定代表人身份证复印件）及被授权人身份证复印件（法定代表人直接参加投标须出具法定代表人证明书及法定代表人身份证复印件）；</w:t>
      </w:r>
    </w:p>
    <w:p>
      <w:pPr>
        <w:pStyle w:val="null3"/>
      </w:pPr>
      <w:r>
        <w:rPr>
          <w:rFonts w:ascii="仿宋_GB2312" w:hAnsi="仿宋_GB2312" w:cs="仿宋_GB2312" w:eastAsia="仿宋_GB2312"/>
        </w:rPr>
        <w:t>5、财务状况：提供2023年或2024年的财务审计报告（成立时间至提交投标文件截止时间不足一年的可提供成立后任意时段的资产负债表）；或其基本存款账户开户银行出具开标前半年内的资信证明；</w:t>
      </w:r>
    </w:p>
    <w:p>
      <w:pPr>
        <w:pStyle w:val="null3"/>
      </w:pPr>
      <w:r>
        <w:rPr>
          <w:rFonts w:ascii="仿宋_GB2312" w:hAnsi="仿宋_GB2312" w:cs="仿宋_GB2312" w:eastAsia="仿宋_GB2312"/>
        </w:rPr>
        <w:t>6、完税证明：提供2024年10月至今已缴纳的至少三个月的纳税证明或完税证明，依法免税的单位应提供相关证明材料；</w:t>
      </w:r>
    </w:p>
    <w:p>
      <w:pPr>
        <w:pStyle w:val="null3"/>
      </w:pPr>
      <w:r>
        <w:rPr>
          <w:rFonts w:ascii="仿宋_GB2312" w:hAnsi="仿宋_GB2312" w:cs="仿宋_GB2312" w:eastAsia="仿宋_GB2312"/>
        </w:rPr>
        <w:t>7、社保缴纳情况：提供2024年10月至今已缴存的至少三个月的社会保障资金缴存单据或社保机构开具的社会保险参保缴费情况证明，依法不需要缴纳社会保障资金的单位应提供相关证明材料；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8、提供具有履行本合同所必需的设备和专业技术能力的说明及承诺书：提供具有履行本合同所必需的设备和专业技术能力的说明及承诺书；</w:t>
      </w:r>
    </w:p>
    <w:p>
      <w:pPr>
        <w:pStyle w:val="null3"/>
      </w:pPr>
      <w:r>
        <w:rPr>
          <w:rFonts w:ascii="仿宋_GB2312" w:hAnsi="仿宋_GB2312" w:cs="仿宋_GB2312" w:eastAsia="仿宋_GB2312"/>
        </w:rPr>
        <w:t>9、书面说明：参加政府采购活动前3年内在经营活动中没有重大违法记录的书面声明;</w:t>
      </w:r>
    </w:p>
    <w:p>
      <w:pPr>
        <w:pStyle w:val="null3"/>
      </w:pPr>
      <w:r>
        <w:rPr>
          <w:rFonts w:ascii="仿宋_GB2312" w:hAnsi="仿宋_GB2312" w:cs="仿宋_GB2312" w:eastAsia="仿宋_GB2312"/>
        </w:rPr>
        <w:t>10、信用要求：供应商未被“信用中国（中国执行信息公开网）列为失信被执行人、重大税收违法失信主体，未被中国政府采购网（www.ccgp.gov.cn）列入政府采购严重违法失信行为记录名单。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11、磋商担保：须提供磋商保证金交纳凭证（银行汇（存）款回执单）或磋商担保函，复印件须加盖投标人公章。</w:t>
      </w:r>
    </w:p>
    <w:p>
      <w:pPr>
        <w:pStyle w:val="null3"/>
      </w:pPr>
      <w:r>
        <w:rPr>
          <w:rFonts w:ascii="仿宋_GB2312" w:hAnsi="仿宋_GB2312" w:cs="仿宋_GB2312" w:eastAsia="仿宋_GB2312"/>
        </w:rPr>
        <w:t>12、中小企业声明函：本项目专门面向中小企业采购项目，需提供中小企业声明函。</w:t>
      </w:r>
    </w:p>
    <w:p>
      <w:pPr>
        <w:pStyle w:val="null3"/>
      </w:pPr>
      <w:r>
        <w:rPr>
          <w:rFonts w:ascii="仿宋_GB2312" w:hAnsi="仿宋_GB2312" w:cs="仿宋_GB2312" w:eastAsia="仿宋_GB2312"/>
        </w:rPr>
        <w:t>13、非联合体磋商：本项目不接受联合体磋商（提供声明函）。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白水县西马路东段东鹏地产九楼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0913-3363519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开户银行：平安银行股西安分行营业部/平安银行西安分行</w:t>
            </w:r>
          </w:p>
          <w:p>
            <w:pPr>
              <w:pStyle w:val="null3"/>
            </w:pPr>
            <w:r>
              <w:rPr>
                <w:rFonts w:ascii="仿宋_GB2312" w:hAnsi="仿宋_GB2312" w:cs="仿宋_GB2312" w:eastAsia="仿宋_GB2312"/>
              </w:rPr>
              <w:t>银行账号：30205380001971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本采购包履约保证金为合同金额的6%</w:t>
            </w:r>
          </w:p>
          <w:p>
            <w:pPr>
              <w:pStyle w:val="null3"/>
            </w:pPr>
            <w:r>
              <w:rPr>
                <w:rFonts w:ascii="仿宋_GB2312" w:hAnsi="仿宋_GB2312" w:cs="仿宋_GB2312" w:eastAsia="仿宋_GB2312"/>
              </w:rPr>
              <w:t>说明：由中标单位签订合同前缴纳，合同工期结束后无息全额退还给中标单位。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费用取费方式及标准：参照国家计委颁发的《招标代理服务收费管理暂行办法》(计价格〔2002〕1980号)，按国家发展和改革委员发改价格【2011】534号文规定收费标准由成交单位在领取成交通知书前，向陕西正邦招标有限责任公司支付。如本项目服务费不足伍仟元则中标单位按伍仟元支付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白水县林业局</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联系电话：029-85578186-821</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1,394,000.00</w:t>
      </w:r>
    </w:p>
    <w:p>
      <w:pPr>
        <w:pStyle w:val="null3"/>
      </w:pPr>
      <w:r>
        <w:rPr>
          <w:rFonts w:ascii="仿宋_GB2312" w:hAnsi="仿宋_GB2312" w:cs="仿宋_GB2312" w:eastAsia="仿宋_GB2312"/>
        </w:rPr>
        <w:t>采购包最高限价（元）: 1,394,000.00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仓颉手植柏保护防雷项目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1,394,000.00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仓颉手植柏保护防雷项目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具体内容详见本项目工程量清单及图纸，详见附件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建设地点：主要内容为在北围墙西角，东围墙东各设置1座30m仿生树型接闪塔，西围墙北段以及西围墙南段各设置1座32m仿生树型接闪塔，每座仿生树型接闪塔配置一套提前放电接闪器；配套建设一套雷电监测系统。（具体工程内容详见本项目工程量清单）。二、工期：自合同签订之日起120日历天。 三、质保期：自项目竣工验收合格之日起一年。 四、付款方式：分期付款。合同签订后付合同款的30%;施工完成，经验收合格据实结算剩余价款；验收后质保期1年。五、质量标准：达到国家现行验收规范“合格”标准。 六、工程量清单：另附电子版。 七、施工图纸：另附电子版。 八、其他说明：温馨提示：因项目存档使用，参与投标的供应商须在开标后2个工作日之内递交纸质版响应文件（一正两副），纸质响应文件须与电子磋商响应文件保持一致。（联系人：张工；联系电话：029-85578186-821；地址：西安市雁塔区朱雀大街南段69号长丰园三区5号楼9层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2023年或2024年的财务审计报告（成立时间至提交投标文件截止时间不足一年的可提供成立后任意时段的资产负债表）；或其基本存款账户开户银行出具开标前半年内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具备建设行政主管部门核发的特种工程专业承包资质，不分等级（特种防雷）资质并在人员、设备、资金等方面具备相应的施工能力，且具有有效的安全生产许可证。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拟派项目经理须具备机电工程专业二级(含二级)及以上注册建造师或建筑工程专业注册建造师二级(含二级)及以上资格和有效的安全生产考核合格证书；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授权书或法定证明</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法定代表人授权书（附法定代表人身份证复印件）及被授权人身份证复印件（法定代表人直接参加投标须出具法定代表人证明书及法定代表人身份证复印件）；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提供2023年或2024年的财务审计报告（成立时间至提交投标文件截止时间不足一年的可提供成立后任意时段的资产负债表）；或其基本存款账户开户银行出具开标前半年内的资信证明；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提供2024年10月至今已缴纳的至少三个月的纳税证明或完税证明，依法免税的单位应提供相关证明材料；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提供2024年10月至今已缴存的至少三个月的社会保障资金缴存单据或社保机构开具的社会保险参保缴费情况证明，依法不需要缴纳社会保障资金的单位应提供相关证明材料；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提供具有履行本合同所必需的设备和专业技术能力的说明及承诺书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供应商未被“信用中国（中国执行信息公开网）列为失信被执行人、重大税收违法失信主体，未被中国政府采购网（www.ccgp.gov.cn）列入政府采购严重违法失信行为记录名单。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磋商担保</w:t>
            </w:r>
          </w:p>
        </w:tc>
        <w:tc>
          <w:tcPr>
            <w:tcW w:type="dxa" w:w="3322"/>
          </w:tcPr>
          <w:p>
            <w:pPr>
              <w:pStyle w:val="null3"/>
            </w:pPr>
            <w:r>
              <w:rPr>
                <w:rFonts w:ascii="仿宋_GB2312" w:hAnsi="仿宋_GB2312" w:cs="仿宋_GB2312" w:eastAsia="仿宋_GB2312"/>
              </w:rPr>
              <w:t>须提供磋商保证金交纳凭证（银行汇（存）款回执单）或磋商担保函，复印件须加盖投标人公章。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本项目专门面向中小企业采购项目，需提供中小企业声明函。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磋商报价不超过最高限价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项目理解说明、施工方案</w:t>
            </w:r>
          </w:p>
        </w:tc>
        <w:tc>
          <w:tcPr>
            <w:tcW w:type="dxa" w:w="2492"/>
          </w:tcPr>
          <w:p>
            <w:pPr>
              <w:pStyle w:val="null3"/>
            </w:pPr>
            <w:r>
              <w:rPr>
                <w:rFonts w:ascii="仿宋_GB2312" w:hAnsi="仿宋_GB2312" w:cs="仿宋_GB2312" w:eastAsia="仿宋_GB2312"/>
              </w:rPr>
              <w:t>根据对项目的理解,提出设计施工思路及针对本项目的具体实施方案综合评审。 （1）思路及方案专门针对本项目编制，符合项目实际情况及实施要求，内容详尽且涵盖角度全面，合理性和可行性强，能够保障项目顺利实施的得（10-15]分； （2）思路及方案能够针对本项目编制，符合项目实际情况及实施要求，内容详尽且涵盖角度基本全面，有一定的合理性和可行性的得（5-10]分； （3）具有思路及方案内容但内容未贴合本项目，内容涵盖角度不够全面且实施有难度的得[0-5]分。未提供不得分。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根据提供针对本项目工程质量的措施方案进行评审。 （1）措施内容专门针对本项目编制，符合项目实际情况及实施要求，内容详尽且涵盖角度全面，合理性和可行性强，能够保障项目顺利实施的得(7-10]分； （2）措施内容能够针对本项目编制，符合项目实际情况及实施要求，内容详尽且涵盖角度基本全面，有一定的合理性和可行性的得(4-7]分； （3）具有措施内容但措施内容未贴合本项目，措施内容涵盖角度不全面且实施有难度的得[0-4]分。未提供不得分。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根据提供针对本项目制定的措施方案，包括但不限于施工准备保证、划分各节点工期,分析确定重点工程工期等内容进行评审。 （1）措施内容专门针对本项目编制，符合项目实际情况及实施要求，内容详尽且涵盖角度全面，合理性和可行性强，能够保障项目顺利实施的得(3-5]分； （2）措施内容能够针对本项目编制，符合项目实际情况及实施要求，内容详尽且涵盖角度基本全面，有一定的合理性和可行性的得(1-3]分； （3）具有措施内容但措施内容未贴合本项目，措施内容涵盖角度不全面且实施有难度的得[0-1]分。未提供不得分。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根据提供针对本项目制定的措施方案，包括但不限于安全施工保证措施、文明施工措施及环境保护措施等内容进行评审。 （1）措施内容专门针对本项目编制，符合项目实际情况及实施要求，内容详尽且涵盖角度全面，合理性和可行性强，能够保障项目顺利实施的得(7-10]分； （2）措施内容能够针对本项目编制，符合项目实际情况及实施要求，内容详尽且涵盖角度基本全面，有一定的合理性和可行性的得(4-7]分； （3）具有措施内容但措施内容未贴合本项目，措施内容涵盖角度不全面且实施有难度的得[0-4]分。未提供不得分。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根据供应商提供的施工组织和项目管理机构（内容包括但不限于项目管理机构图;岗位安排及职责（配备施工员、安全员、资料员、材料员、质量员）；管理制度；相应的协调措施等进行评审。 （1）项目部组成科学合理、人员表配置充足，有详细的人员配置清单，针对性强，能够很好的满足项目需求的得（7-10]分；（2）项目部组成基本合理、人员表配置基本齐全，具有人员配置清单，有一定的针对性，能够满足项目需求的得（4-7]分； （3）项目部组成内容简单笼统，项目部组成人员缺乏科学合理性，组成不全面的得[0-4]分。未提供不得分。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根据供应商提供的施工机械配置和材料投入计划（内容包括但不限于施工机械配置计划；施工材料投入计划；施工机械的维护保养和材料的贮存；施工机械、材料的监督和检查等）综合评审。 （1）投入计划专门针对本项目编制，符合项目实际情况及实施要求，内容详尽且涵盖角度全面，合理性和可行性强，能够保障项目顺利实施的得（7-10]分; （2）投入计划基本针对本项目编制，符合项目实际情况及实施要求，内容详尽且涵盖角度基本全面，有一定的合理性和可行性的，得（4-7]分; （3）提供投入计划，但内容涵盖角度不够全面且实施具有一定难度，得[0-4]分。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根据供应商提供的针对项目实施的应急预案的详细程度及案例说明（包括但不限于因天气或气候原因导致的问题，或人为原因，及时补换措施和补货需求）进行评审。 （1）预案专门针对本项目编制，符合项目实际情况及实施要求，内容详尽且涵盖角度全面，合理性和可行性强，能够保障项目顺利实施的得（3-5]分；（2）预案能够针对本项目编制，符合项目实际情况及实施要求，内容详尽且涵盖角度基本全面，有一定的合理性和可行性的得（1-3]分； （3）具有预案内容但内容未针对本项目，内容空洞宽泛，基本不具有可实施性的得[0-1]分。未提供不得分。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提供近三年（2022年10月1日至今） 类似项目业绩，每提供一个类似项目业绩计2.5分，满分5分（以施工合同为准，时间以合同内时间为准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磋商小组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供应商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