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版本号：ZCSP-白水县-2025-00249-0142420251027002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2025年白水县彭衙集中供水站水质提升工程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ZCSP-白水县-2025-00249-01424</w:t>
      </w:r>
      <w:r>
        <w:br/>
      </w:r>
      <w:r>
        <w:br/>
      </w:r>
      <w:r>
        <w:br/>
      </w:r>
    </w:p>
    <w:p>
      <w:pPr>
        <w:pStyle w:val="null3"/>
        <w:jc w:val="center"/>
        <w:outlineLvl w:val="2"/>
      </w:pPr>
      <w:r>
        <w:rPr>
          <w:rFonts w:ascii="仿宋_GB2312" w:hAnsi="仿宋_GB2312" w:cs="仿宋_GB2312" w:eastAsia="仿宋_GB2312"/>
          <w:sz w:val="28"/>
          <w:b/>
        </w:rPr>
        <w:t>白水县水管中心</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白水县水管中心</w:t>
      </w:r>
      <w:r>
        <w:rPr>
          <w:rFonts w:ascii="仿宋_GB2312" w:hAnsi="仿宋_GB2312" w:cs="仿宋_GB2312" w:eastAsia="仿宋_GB2312"/>
        </w:rPr>
        <w:t>委托，拟对</w:t>
      </w:r>
      <w:r>
        <w:rPr>
          <w:rFonts w:ascii="仿宋_GB2312" w:hAnsi="仿宋_GB2312" w:cs="仿宋_GB2312" w:eastAsia="仿宋_GB2312"/>
        </w:rPr>
        <w:t>2025年白水县彭衙集中供水站水质提升工程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ZCSP-白水县-2025-00249-01424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2025年白水县彭衙集中供水站水质提升工程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白水县彭衙集中供水站水质提升工程，建设规模及内容：本次供水工程供水对象为南彭衙村、丰乐村、贺苏村、群英村、北彭衙村的居民生活用水，供水规模为705m³/d。本工程主要建设内容为：（1）水源工程：改造水处理设备间，增设水处理工艺设备一套，产水规模增加40m³/h，改造内容为增设原水泵，增加反渗透工艺水处理设备一套，包含保安过滤器、高压泵、反渗透膜主机、清洗系统及配套设备及管路，对原水处理设备及管路进行改造，使得两套系统能独立选择运行或并联运行；在原泵站内增设原水加压泵一台，专供新增净水系统，同时增设进水管一路，出水管一路。（2）变压器增容工程：站用变压器160KVA，架空线路50米、进户电缆及动力柜一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采购包1（2025年白水县彭衙集中供水站水质提升工程）：属于专门面向中小企业采购。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2、项目经理：拟派项目经理具备水利水电工程二级及以上注册建造师资格，无在建项目；</w:t>
      </w:r>
    </w:p>
    <w:p>
      <w:pPr>
        <w:pStyle w:val="null3"/>
      </w:pPr>
      <w:r>
        <w:rPr>
          <w:rFonts w:ascii="仿宋_GB2312" w:hAnsi="仿宋_GB2312" w:cs="仿宋_GB2312" w:eastAsia="仿宋_GB2312"/>
        </w:rPr>
        <w:t>3、营业执照：提供有效存续的企业营业执照（含最新年度报告）；</w:t>
      </w:r>
    </w:p>
    <w:p>
      <w:pPr>
        <w:pStyle w:val="null3"/>
      </w:pPr>
      <w:r>
        <w:rPr>
          <w:rFonts w:ascii="仿宋_GB2312" w:hAnsi="仿宋_GB2312" w:cs="仿宋_GB2312" w:eastAsia="仿宋_GB2312"/>
        </w:rPr>
        <w:t>4、资质证书：供应商具备有效的水利水电工程施工总承包二级及以上或建筑机电安装工程专业承包二级及以上资质；</w:t>
      </w:r>
    </w:p>
    <w:p>
      <w:pPr>
        <w:pStyle w:val="null3"/>
      </w:pPr>
      <w:r>
        <w:rPr>
          <w:rFonts w:ascii="仿宋_GB2312" w:hAnsi="仿宋_GB2312" w:cs="仿宋_GB2312" w:eastAsia="仿宋_GB2312"/>
        </w:rPr>
        <w:t>5、安全生产许可证：供应商具备有效的安全生产许可证；</w:t>
      </w:r>
    </w:p>
    <w:p>
      <w:pPr>
        <w:pStyle w:val="null3"/>
      </w:pPr>
      <w:r>
        <w:rPr>
          <w:rFonts w:ascii="仿宋_GB2312" w:hAnsi="仿宋_GB2312" w:cs="仿宋_GB2312" w:eastAsia="仿宋_GB2312"/>
        </w:rPr>
        <w:t>6、其它主要人员：供应商的企业负责人、项目经理和专职安全员必须具有水行政主管部门颁发的安全生产考核合格证；</w:t>
      </w:r>
    </w:p>
    <w:p>
      <w:pPr>
        <w:pStyle w:val="null3"/>
      </w:pPr>
      <w:r>
        <w:rPr>
          <w:rFonts w:ascii="仿宋_GB2312" w:hAnsi="仿宋_GB2312" w:cs="仿宋_GB2312" w:eastAsia="仿宋_GB2312"/>
        </w:rPr>
        <w:t>7、财务状况报告：提供2024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8、社保缴纳证明：提供2025年1月1日至响应文件递交截止之日任意一个月的社会保障资金缴存单据或社保机构开具的社会保险参保缴费情况证明。依法不需要缴纳社会保障资金的供应商应提供相关证明文件；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9、税收缴纳证明：提供2025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10、信用记录：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12、书面声明：提供书面声明，包括声明具有履行合同所必需的设备和专业技术能力；未为本项目提供整体设计、规范编制或者项目管理、监理、检测等服务；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13、本合同包不接受联合体磋商、不允许分包：供应商提供《非联合体磋商不分包声明》，视为独立响应、不分包。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白水县水管中心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白水县杜康中路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0913-6126068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西安市雁塔区曲江新区雁翔路3269号旺座曲江E座29层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13098123638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白水县财政局政府采购管理股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采购包1：943,417.43元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人与采购代理机构约定，根据“财库[2018]2号-财政部关于印发《政府采购代理机构管理暂行办法》的通知”第十五条规定，双方约定代理服务费由成交供应商支付，领取成交通知书时一次性付清代理服务费，费用包括：（1）招标代理费：参照国家计委关于《招标代理服务收费管理暂行办法》（计价格〔2002〕1980号）、《国家发展改革委关于降低部分建设项目收费标准规范收费行为等有关问题的通知》（发改价格〔2011〕534号），以成交价为基数，按标准的100%收取。（2）工程量清单及最高限价编制费：参照陕西省物价局陕西省住房和城乡建设厅《关于我省工程造价咨询服务收费标准有关问题的通知》（陕价行发〔2014〕88号），以最高限价为基数，按标准的100%收取。户 名：华睿诚项目管理有限公司临渭分公司；开户银行：中国建设银行股份有限公司渭南朝阳大街支行；账号：61050164500800000761。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白水县水管中心</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白水县水管中心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白水县水管中心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1.验收需全面达到国家和行业合格标准。 2.若验收过程中发现任何不合格情况，供应商应在接到通知后的15个工作日内制定详细的整改方案并提交给业主单位审核。整改方案应明确整改措施、整改时间节点、责任人等内容。供应商需按照整改方案严格执行，在规定时间内完成整改任务。整改完成后，业主单位应组织再次验收，若仍不合格，供应商需继续整改，直至验收合格为止。同时，因整改导致的费用增加和工期延误由供应商承担。如果多次整改仍不合格，业主单位有权按照合同约定扣除相应的违约金，甚至解除合同，并要求供应商承担因此给业主单位造成的全部损失。</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联系人：党珍</w:t>
      </w:r>
    </w:p>
    <w:p>
      <w:pPr>
        <w:pStyle w:val="null3"/>
      </w:pPr>
      <w:r>
        <w:rPr>
          <w:rFonts w:ascii="仿宋_GB2312" w:hAnsi="仿宋_GB2312" w:cs="仿宋_GB2312" w:eastAsia="仿宋_GB2312"/>
        </w:rPr>
        <w:t>联系电话：13098123638</w:t>
      </w:r>
    </w:p>
    <w:p>
      <w:pPr>
        <w:pStyle w:val="null3"/>
      </w:pPr>
      <w:r>
        <w:rPr>
          <w:rFonts w:ascii="仿宋_GB2312" w:hAnsi="仿宋_GB2312" w:cs="仿宋_GB2312" w:eastAsia="仿宋_GB2312"/>
        </w:rPr>
        <w:t>地址：西安市曲江新区雁翔路3269号旺座曲江E座29层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943,417.43</w:t>
      </w:r>
    </w:p>
    <w:p>
      <w:pPr>
        <w:pStyle w:val="null3"/>
      </w:pPr>
      <w:r>
        <w:rPr>
          <w:rFonts w:ascii="仿宋_GB2312" w:hAnsi="仿宋_GB2312" w:cs="仿宋_GB2312" w:eastAsia="仿宋_GB2312"/>
        </w:rPr>
        <w:t>采购包最高限价（元）: 943,417.43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2025年白水县彭衙集中供水站水质提升工程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943,417.43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2025年白水县彭衙集中供水站水质提升工程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一、技术标准</w:t>
            </w:r>
          </w:p>
          <w:p>
            <w:pPr>
              <w:pStyle w:val="null3"/>
            </w:pPr>
            <w:r>
              <w:rPr>
                <w:rFonts w:ascii="仿宋_GB2312" w:hAnsi="仿宋_GB2312" w:cs="仿宋_GB2312" w:eastAsia="仿宋_GB2312"/>
              </w:rPr>
              <w:t>本项目施工必须严格遵循国家及行业现行的一系列技术规范标准：村镇供水工程技术规范、泵站设计规范、泵站技术管理规程、砌体结构设计规范、生活饮用水标准检验方法、建筑物抗震设计规范、室外给水设计标准、建筑给水排水设计规范、给水排水工程构筑物结构设计规范、构筑物抗震设计规范、地下水质量标准、生活饮用水卫生标准、泵站设计规范、饮用水水源保护区划分技术规范、给水排水构筑物工程施工及验收规范、水利水电工程等级划分及洪水标准、陕西省村镇供水工程初步设计要点、其它相关设计规范和技术规程、图集。</w:t>
            </w:r>
          </w:p>
          <w:p>
            <w:pPr>
              <w:pStyle w:val="null3"/>
            </w:pPr>
            <w:r>
              <w:rPr>
                <w:rFonts w:ascii="仿宋_GB2312" w:hAnsi="仿宋_GB2312" w:cs="仿宋_GB2312" w:eastAsia="仿宋_GB2312"/>
              </w:rPr>
              <w:t>二、服务标准</w:t>
            </w:r>
          </w:p>
          <w:p>
            <w:pPr>
              <w:pStyle w:val="null3"/>
            </w:pPr>
            <w:r>
              <w:rPr>
                <w:rFonts w:ascii="仿宋_GB2312" w:hAnsi="仿宋_GB2312" w:cs="仿宋_GB2312" w:eastAsia="仿宋_GB2312"/>
              </w:rPr>
              <w:t>1.供应商应在接到项目需求通知后的24小时内做出响应，明确项目负责人，并提供联系方式，确保沟通渠道畅通。在施工期间，项目负责人应每周至少向业主单位汇报一次工程进度情况，包括已完成的工作内容、存在的问题及解决方案等，以便业主单位及时掌握工程动态。</w:t>
            </w:r>
          </w:p>
          <w:p>
            <w:pPr>
              <w:pStyle w:val="null3"/>
            </w:pPr>
            <w:r>
              <w:rPr>
                <w:rFonts w:ascii="仿宋_GB2312" w:hAnsi="仿宋_GB2312" w:cs="仿宋_GB2312" w:eastAsia="仿宋_GB2312"/>
              </w:rPr>
              <w:t>2.建立有效的沟通机制，与业主单位、设计单位、监理单位等保持密切沟通。每周定期召开工程例会，共同商讨工程进展中遇到的问题，及时协调解决各方的意见和建议，确保工程顺利推进。对于业主单位提出的合理意见和建议，供应商应在3个工作日内给出具体的整改措施和时间节点，并严格按照要求落实到位。</w:t>
            </w:r>
          </w:p>
          <w:p>
            <w:pPr>
              <w:pStyle w:val="null3"/>
            </w:pPr>
            <w:r>
              <w:rPr>
                <w:rFonts w:ascii="仿宋_GB2312" w:hAnsi="仿宋_GB2312" w:cs="仿宋_GB2312" w:eastAsia="仿宋_GB2312"/>
              </w:rPr>
              <w:t>3.在施工过程中，若遇到突发情况影响工程进度或质量，供应商应在1小时内通知业主单位和监理单位，并在24小时内提交详细的应急处理方案，采取有效措施降低损失，确保工程尽快恢复正常施工。</w:t>
            </w:r>
          </w:p>
          <w:p>
            <w:pPr>
              <w:pStyle w:val="null3"/>
            </w:pPr>
            <w:r>
              <w:rPr>
                <w:rFonts w:ascii="仿宋_GB2312" w:hAnsi="仿宋_GB2312" w:cs="仿宋_GB2312" w:eastAsia="仿宋_GB2312"/>
              </w:rPr>
              <w:t>三、施工标准</w:t>
            </w:r>
          </w:p>
          <w:p>
            <w:pPr>
              <w:pStyle w:val="null3"/>
            </w:pPr>
            <w:r>
              <w:rPr>
                <w:rFonts w:ascii="仿宋_GB2312" w:hAnsi="仿宋_GB2312" w:cs="仿宋_GB2312" w:eastAsia="仿宋_GB2312"/>
              </w:rPr>
              <w:t>1.施工需严格达到国家及行业现行技术规范标准。在管道安装方面，依据《给水排水管道工程施工及验收规范》，管道的基础应牢固，其强度和稳定性需满足设计要求。</w:t>
            </w:r>
          </w:p>
          <w:p>
            <w:pPr>
              <w:pStyle w:val="null3"/>
            </w:pPr>
            <w:r>
              <w:rPr>
                <w:rFonts w:ascii="仿宋_GB2312" w:hAnsi="仿宋_GB2312" w:cs="仿宋_GB2312" w:eastAsia="仿宋_GB2312"/>
              </w:rPr>
              <w:t>2.在设备调试方面，以水处理设备为例，调试应符合《水处理设备技术条件》。设备安装完成后，需进行空载调试和负载调试。空载调试时，检查设备的运行状况，包括各部件的运转是否平稳、有无异常声响，电气控制系统是否正常等；负载调试时，按照设备的设计参数，通入原水，检测设备的产水水质、产水量是否达到设计要求，各处理工艺环节是否正常运行，确保设备在实际运行条件下能稳定、高效地工作。</w:t>
            </w:r>
          </w:p>
          <w:p>
            <w:pPr>
              <w:pStyle w:val="null3"/>
            </w:pPr>
            <w:r>
              <w:rPr>
                <w:rFonts w:ascii="仿宋_GB2312" w:hAnsi="仿宋_GB2312" w:cs="仿宋_GB2312" w:eastAsia="仿宋_GB2312"/>
              </w:rPr>
              <w:t>四、施工工艺与质量要求</w:t>
            </w:r>
          </w:p>
          <w:p>
            <w:pPr>
              <w:pStyle w:val="null3"/>
            </w:pPr>
            <w:r>
              <w:rPr>
                <w:rFonts w:ascii="仿宋_GB2312" w:hAnsi="仿宋_GB2312" w:cs="仿宋_GB2312" w:eastAsia="仿宋_GB2312"/>
              </w:rPr>
              <w:t>1.水源工程施工工艺</w:t>
            </w:r>
          </w:p>
          <w:p>
            <w:pPr>
              <w:pStyle w:val="null3"/>
            </w:pPr>
            <w:r>
              <w:rPr>
                <w:rFonts w:ascii="仿宋_GB2312" w:hAnsi="仿宋_GB2312" w:cs="仿宋_GB2312" w:eastAsia="仿宋_GB2312"/>
              </w:rPr>
              <w:t>1.1改造水处理设备间：首先对设备间进行全面清理，拆除影响施工的原有设施和障碍物，确保施工空间充足。对设备间的地面、墙面进行检查和修复，保证地面平整、墙面牢固，满足新增设备的安装要求。在施工过程中，注意保护好设备间内的原有管道、线路等设施，避免造成损坏。</w:t>
            </w:r>
          </w:p>
          <w:p>
            <w:pPr>
              <w:pStyle w:val="null3"/>
            </w:pPr>
            <w:r>
              <w:rPr>
                <w:rFonts w:ascii="仿宋_GB2312" w:hAnsi="仿宋_GB2312" w:cs="仿宋_GB2312" w:eastAsia="仿宋_GB2312"/>
              </w:rPr>
              <w:t>1.2增设原水泵：根据设计要求，确定原水泵的安装位置，在基础上进行地脚螺栓的预埋，确保螺栓的位置准确、垂直度符合要求。安装原水泵时，使用起重设备将泵体平稳吊起，缓慢放置在基础上，调整泵体的水平度和垂直度，使其偏差控制在允许范围内。然后紧固地脚螺栓，连接进水管和出水管，管道连接应牢固、密封，防止漏水。</w:t>
            </w:r>
          </w:p>
          <w:p>
            <w:pPr>
              <w:pStyle w:val="null3"/>
            </w:pPr>
            <w:r>
              <w:rPr>
                <w:rFonts w:ascii="仿宋_GB2312" w:hAnsi="仿宋_GB2312" w:cs="仿宋_GB2312" w:eastAsia="仿宋_GB2312"/>
              </w:rPr>
              <w:t>1.3增加反渗透工艺水处理设备：在安装保安过滤器时，检查过滤器的外壳是否完好，内部滤网是否安装正确，将过滤器按照设计位置进行固定，连接好进出水管路。高压泵安装前，对泵的性能进行测试，确保其符合设计要求。安装时，注意泵的进出口方向，连接好电机与泵体的联轴器，调整其同心度，使电机与泵体运转平稳。反渗透膜主机安装时，要小心搬运，避免碰撞损坏膜元件。按照厂家的安装说明书，将膜元件正确装入膜壳内，注意膜元件的排列顺序和方向，连接好膜壳之间的管道和连接件，确保密封良好。清洗系统及配套设备安装时，根据设计要求连接好清洗管道、清洗水箱、清洗泵等设备，保证清洗系统能够正常工作。对原水处理设备及管路进行改造时，仔细分析原有系统的运行情况，在不影响原有系统正常运行的前提下，进行合理的改造。对需要拆除的管路和设备，做好标记和记录，拆除过程中注意安全。新安装的管路与原有系统连接时，确保连接部位的密封性和牢固性，使两套系统能独立选择运行或并联运行。</w:t>
            </w:r>
          </w:p>
          <w:p>
            <w:pPr>
              <w:pStyle w:val="null3"/>
            </w:pPr>
            <w:r>
              <w:rPr>
                <w:rFonts w:ascii="仿宋_GB2312" w:hAnsi="仿宋_GB2312" w:cs="仿宋_GB2312" w:eastAsia="仿宋_GB2312"/>
              </w:rPr>
              <w:t>1.4在原泵站内增设原水加压泵及管路：确定原水加压泵的安装位置，制作并安装牢固的基础。安装加压泵时，严格按照设备安装说明书进行操作，确保泵体的水平度和垂直度。连接进水管和出水管时，要注意管道的坡度，保证水流顺畅，避免出现积水现象。对新增的进水管和出水管进行水压试验，试验压力应符合设计要求，试验时间内无渗漏、无降压为合格。</w:t>
            </w:r>
          </w:p>
          <w:p>
            <w:pPr>
              <w:pStyle w:val="null3"/>
            </w:pPr>
            <w:r>
              <w:rPr>
                <w:rFonts w:ascii="仿宋_GB2312" w:hAnsi="仿宋_GB2312" w:cs="仿宋_GB2312" w:eastAsia="仿宋_GB2312"/>
              </w:rPr>
              <w:t>2.变压器增容工程施工工艺</w:t>
            </w:r>
          </w:p>
          <w:p>
            <w:pPr>
              <w:pStyle w:val="null3"/>
            </w:pPr>
            <w:r>
              <w:rPr>
                <w:rFonts w:ascii="仿宋_GB2312" w:hAnsi="仿宋_GB2312" w:cs="仿宋_GB2312" w:eastAsia="仿宋_GB2312"/>
              </w:rPr>
              <w:t>2.1架空线路安装：根据设计要求，确定架空线路的路径，在路径上安装电线杆或铁塔。电线杆或铁塔的基础应牢固，埋深符合设计规定，基础周围应进行夯实处理。在电线杆或铁塔上安装横担、绝缘子等配件，横担应安装水平，绝缘子应安装牢固，无破损、裂纹等缺陷。将架空导线通过放线设备进行放线，导线在展放过程中，要注意避免出现扭曲、磨损等情况。导线展放完成后，使用紧线器对导线进行紧线，调整导线的弧垂，使其符合设计要求。导线连接时，采用压接或焊接的方式，连接部位应牢固，电阻值符合要求，做好绝缘处理。</w:t>
            </w:r>
          </w:p>
          <w:p>
            <w:pPr>
              <w:pStyle w:val="null3"/>
            </w:pPr>
            <w:r>
              <w:rPr>
                <w:rFonts w:ascii="仿宋_GB2312" w:hAnsi="仿宋_GB2312" w:cs="仿宋_GB2312" w:eastAsia="仿宋_GB2312"/>
              </w:rPr>
              <w:t>2.2进户电缆安装：确定进户电缆的敷设路径，路径应尽量短直，避免穿越障碍物。在电缆敷设前，对电缆进行检查，确保电缆的型号、规格符合设计要求，电缆外皮无破损、划伤等缺陷。按照设计要求，开挖电缆沟，电缆沟的深度、宽度应符合规定，沟底应平整，铺上一层细沙或软土。将电缆放入电缆沟内，电缆应排列整齐，不得有交叉、重叠现象。在电缆的转弯处、接头处等部位，要做好防护措施，防止电缆受损。电缆敷设完成后，在电缆沟内盖上盖板，盖板应平整、牢固。进户电缆与室内配电箱或动力柜连接时，要确保连接牢固，接触良好，做好绝缘和接地处理。</w:t>
            </w:r>
          </w:p>
          <w:p>
            <w:pPr>
              <w:pStyle w:val="null3"/>
            </w:pPr>
            <w:r>
              <w:rPr>
                <w:rFonts w:ascii="仿宋_GB2312" w:hAnsi="仿宋_GB2312" w:cs="仿宋_GB2312" w:eastAsia="仿宋_GB2312"/>
              </w:rPr>
              <w:t>2.3动力柜安装：在安装动力柜前，对基础进行检查，基础的水平度、垂直度应符合要求，基础的尺寸与动力柜的尺寸应匹配。使用起重设备将动力柜平稳吊至基础上，调整动力柜的位置，使其水平度和垂直度偏差控制在允许范围内，然后使用地脚螺栓将动力柜固定在基础上。在动力柜内安装各种电器元件，如断路器、接触器、继电器等，电器元件的安装应牢固，接线应正确、整齐，标识清晰。连接动力柜内的母线和电缆，母线连接应紧密，接触电阻小，电缆连接应牢固，做好绝缘处理。对动力柜进行调试，检查各电器元件的动作是否正常，控制系统是否灵敏可靠，测量各相电压、电流等参数，确保动力柜能够正常运行。</w:t>
            </w:r>
          </w:p>
          <w:p>
            <w:pPr>
              <w:pStyle w:val="null3"/>
            </w:pPr>
            <w:r>
              <w:rPr>
                <w:rFonts w:ascii="仿宋_GB2312" w:hAnsi="仿宋_GB2312" w:cs="仿宋_GB2312" w:eastAsia="仿宋_GB2312"/>
              </w:rPr>
              <w:t>五、其他技术要求</w:t>
            </w:r>
          </w:p>
          <w:p>
            <w:pPr>
              <w:pStyle w:val="null3"/>
            </w:pPr>
            <w:r>
              <w:rPr>
                <w:rFonts w:ascii="仿宋_GB2312" w:hAnsi="仿宋_GB2312" w:cs="仿宋_GB2312" w:eastAsia="仿宋_GB2312"/>
              </w:rPr>
              <w:t>1.安全技术要求：严格遵守《建设工程安全生产管理条例》，设置安全警示，人员佩戴防护用品，定期检查维护机具，制定并演练应急预案。</w:t>
            </w:r>
          </w:p>
          <w:p>
            <w:pPr>
              <w:pStyle w:val="null3"/>
            </w:pPr>
            <w:r>
              <w:rPr>
                <w:rFonts w:ascii="仿宋_GB2312" w:hAnsi="仿宋_GB2312" w:cs="仿宋_GB2312" w:eastAsia="仿宋_GB2312"/>
              </w:rPr>
              <w:t>2.对周边环境影响的控制技术要求：</w:t>
            </w:r>
          </w:p>
          <w:p>
            <w:pPr>
              <w:pStyle w:val="null3"/>
            </w:pPr>
            <w:r>
              <w:rPr>
                <w:rFonts w:ascii="仿宋_GB2312" w:hAnsi="仿宋_GB2312" w:cs="仿宋_GB2312" w:eastAsia="仿宋_GB2312"/>
              </w:rPr>
              <w:t>文明施工：材料堆放整齐，工完场清，减少对村容和交通的影响。</w:t>
            </w:r>
          </w:p>
          <w:p>
            <w:pPr>
              <w:pStyle w:val="null3"/>
            </w:pPr>
            <w:r>
              <w:rPr>
                <w:rFonts w:ascii="仿宋_GB2312" w:hAnsi="仿宋_GB2312" w:cs="仿宋_GB2312" w:eastAsia="仿宋_GB2312"/>
              </w:rPr>
              <w:t>噪音控制：合理安排高噪音作业时间，避免扰民。</w:t>
            </w:r>
          </w:p>
          <w:p>
            <w:pPr>
              <w:pStyle w:val="null3"/>
            </w:pPr>
            <w:r>
              <w:rPr>
                <w:rFonts w:ascii="仿宋_GB2312" w:hAnsi="仿宋_GB2312" w:cs="仿宋_GB2312" w:eastAsia="仿宋_GB2312"/>
              </w:rPr>
              <w:t>扬尘控制：开挖土方及时覆盖或清运，作业面适时洒水。</w:t>
            </w:r>
          </w:p>
          <w:p>
            <w:pPr>
              <w:pStyle w:val="null3"/>
            </w:pPr>
            <w:r>
              <w:rPr>
                <w:rFonts w:ascii="仿宋_GB2312" w:hAnsi="仿宋_GB2312" w:cs="仿宋_GB2312" w:eastAsia="仿宋_GB2312"/>
              </w:rPr>
              <w:t>废弃物处理：施工垃圾、废弃管材等分类集中，清运至指定地点。</w:t>
            </w:r>
          </w:p>
          <w:p>
            <w:pPr>
              <w:pStyle w:val="null3"/>
            </w:pPr>
            <w:r>
              <w:rPr>
                <w:rFonts w:ascii="仿宋_GB2312" w:hAnsi="仿宋_GB2312" w:cs="仿宋_GB2312" w:eastAsia="仿宋_GB2312"/>
              </w:rPr>
              <w:t>六、工程量清单</w:t>
            </w:r>
          </w:p>
          <w:p>
            <w:pPr>
              <w:pStyle w:val="null3"/>
            </w:pPr>
            <w:r>
              <w:rPr>
                <w:rFonts w:ascii="仿宋_GB2312" w:hAnsi="仿宋_GB2312" w:cs="仿宋_GB2312" w:eastAsia="仿宋_GB2312"/>
              </w:rPr>
              <w:t>1.本工程报价与结算必须严格依据采购人所发的《工程量清单》。</w:t>
            </w:r>
          </w:p>
          <w:p>
            <w:pPr>
              <w:pStyle w:val="null3"/>
            </w:pPr>
            <w:r>
              <w:rPr>
                <w:rFonts w:ascii="仿宋_GB2312" w:hAnsi="仿宋_GB2312" w:cs="仿宋_GB2312" w:eastAsia="仿宋_GB2312"/>
              </w:rPr>
              <w:t>2.承包人须仔细复核清单项目特征、工作内容及计量规则。清单中未单独列项但为完成图纸所示工程不可或缺的所有工作内容及费用，均应视为已包含在相应清单项目综合单价中，发包人不再另行支付。</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详见上述“一、技术、服务标准和要求”相关内容</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详见上述“一、技术、服务标准和要求”相关内容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商务要求： 一、工期：自合同签订之日起30日历天内完成全部工程施工并达到验收条件。 二、付款方式： 1.开工前，采购人向成交供应商支付合同总价40%的工程预付款。 2.工程竣工验收合格，出具验收证书，结算审定及双方无异议后，采购人支付合同总价的57%。 3.剩余3%质量保证金，在质保期结束后一次付清。 三、承包方式 1.施工总承包 2.承包人须对工程的质量、安全、工期、造价全面负责。 3.承包人须自行解决施工所需的水、电、临时设施等。 四、合同与履约 1.保险：承包人须为工程投保建筑工程一切险和第三者责任险，并承担费用。施工人员意外伤害险按国家规定办理。 2.变更与签证：供应商响应本合同包竞争性磋商文件第八章合同条款要求。 3.违约责任：供应商响应本合同包竞争性磋商文件第八章合同条款要求。 4.争议解决：供应商响应本合同包竞争性磋商文件第八章合同条款要求。 5.其他条款：供应商响应本合同包竞争性磋商文件第八章合同条款要求。 五、质量保修相关 （一）质量保修范围 1.水源工程：改造后的水处理设备间内所有新增及改造的设施设备，包括新增的原水泵、反渗透工艺水处理设备（保安过滤器、高压泵、反渗透膜主机、清洗系统及配套设备及管路），以及对原水处理设备及管路改造的部分。这些设备和管路在正常使用情况下，因施工质量问题或设备本身质量缺陷导致的故障、损坏等均在保修范围内。 2.变压器增容工程：站用增容后的160KVA变压器、50米架空线路、进户电缆及动力柜一套。变压器的绕组、铁芯、外壳等部件，架空线路的电线杆、横担、绝缘子、导线，进户电缆的外皮、内部导体，动力柜内的各种电器元件（断路器、接触器、继电器等）及母线等，若因施工质量问题或产品质量问题出现故障、损坏，均属于保修范围。 （二）保修期 本工程的保修期为自工程竣工验收合格之日起2年。在保修期内，供应商应承担以下责任和义务： 1.接到业主单位或用户关于工程质量问题的通知后，应在24小时内做出响应，并在48小时内到达现场进行检查和处理。如遇到紧急情况，如管道破裂导致大量漏水、电气设备短路引发火灾隐患等，应在1小时内到达现场，并采取有效措施进行紧急处理，防止事故扩大。 2.对属于保修范围内的质量问题，供应商应负责免费维修或更换，承担维修所需的材料、人工等费用。维修或更换后的设施设备应经过测试和验收，确保其性能和质量符合相关标准和要求。例如，若水处理设备的某个部件损坏，供应商应免费提供相同规格、质量合格的部件进行更换，并对更换后的设备进行调试，确保设备正常运行。 3.在保修期内，定期对工程进行回访，一般每季度回访一次，了解工程的使用情况和运行状况，及时发现并解决潜在的质量问题。每次回访应做好记录，包括回访时间、回访人员、发现的问题及处理情况等，并存档备查。 4.若因质量问题给业主单位或用户造成损失，供应商应承担相应的赔偿责任。如因水处理设备故障导致居民用水水质不达标，给居民身体健康造成损害，或因变压器故障导致供水站停电，影响居民正常生活，供应商应按照相关法律法规和合同约定进行赔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了企业声明函原件，本项目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拟派项目经理具备水利水电工程二级及以上注册建造师资格，无在建项目；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提供有效存续的企业营业执照（含最新年度报告）；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供应商具备有效的水利水电工程施工总承包二级及以上或建筑机电安装工程专业承包二级及以上资质；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其它主要人员</w:t>
            </w:r>
          </w:p>
        </w:tc>
        <w:tc>
          <w:tcPr>
            <w:tcW w:type="dxa" w:w="3322"/>
          </w:tcPr>
          <w:p>
            <w:pPr>
              <w:pStyle w:val="null3"/>
            </w:pPr>
            <w:r>
              <w:rPr>
                <w:rFonts w:ascii="仿宋_GB2312" w:hAnsi="仿宋_GB2312" w:cs="仿宋_GB2312" w:eastAsia="仿宋_GB2312"/>
              </w:rPr>
              <w:t>供应商的企业负责人、项目经理和专职安全员必须具有水行政主管部门颁发的安全生产考核合格证；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提供2025年1月1日至响应文件递交截止之日任意一个月的社会保障资金缴存单据或社保机构开具的社会保险参保缴费情况证明。依法不需要缴纳社会保障资金的供应商应提供相关证明文件；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磋商文件签字盖章</w:t>
            </w:r>
          </w:p>
        </w:tc>
        <w:tc>
          <w:tcPr>
            <w:tcW w:type="dxa" w:w="3322"/>
          </w:tcPr>
          <w:p>
            <w:pPr>
              <w:pStyle w:val="null3"/>
            </w:pPr>
            <w:r>
              <w:rPr>
                <w:rFonts w:ascii="仿宋_GB2312" w:hAnsi="仿宋_GB2312" w:cs="仿宋_GB2312" w:eastAsia="仿宋_GB2312"/>
              </w:rPr>
              <w:t>响应文件签字盖章满足竞争性磋商文件的要求</w:t>
            </w:r>
          </w:p>
        </w:tc>
        <w:tc>
          <w:tcPr>
            <w:tcW w:type="dxa" w:w="1661"/>
          </w:tcPr>
          <w:p>
            <w:pPr>
              <w:pStyle w:val="null3"/>
            </w:pPr>
            <w:r>
              <w:rPr>
                <w:rFonts w:ascii="仿宋_GB2312" w:hAnsi="仿宋_GB2312" w:cs="仿宋_GB2312" w:eastAsia="仿宋_GB2312"/>
              </w:rPr>
              <w:t>响应文件封面 近年完成类似项目情况表.docx 已标价工程量清单 拟投入本项目人员配置情况表.docx 中小企业声明函 报价函 标的清单 技术服务合同条款及其他商务要求应答表 响应函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供应商首次磋商报价未出现选择性报价，首次磋商报价未超出采购预算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1.符合商务、技术要求，不存在重大负偏离；2.未附有采购人不能接受的条件；3.符合竞争性磋商文件规定的其他实质性要求；4.未违反《中华人民共和国政府采购法》和其他相关法律、法规的规定。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已标价工程量清单 技术服务合同条款及其他商务要求应答表 标的清单 承诺函.docx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一、评审内容：供应商2022年1月1日至响应文件递交截止之日具有类似项目已完成的施工业绩（以合同签订时间为准）。 二、评审标准：完整性（业绩证明材料须完整，包含中标通知书及施工合同）；真实性（证明材料清晰可辨并加盖公章）； 符合性（业绩数量及合同签订时间符合要求）。 三、赋分标准：每提供1个符合要求的业绩证明得1分，满分3分。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近年完成类似项目情况表.docx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一、评审内容：项目部人员除项目经理外，配备施工员、质量员、安全员、材料员、资料员各1人，以及在满足基本要求基础上的人员增加情况。 二、评审标准：完整性（基本岗位人员配备齐全）；真实性（人员岗位证书清晰可辨并加盖公章）；符合性（人员数量及岗位配置符合要求）。 三、赋分标准：①基本配置得分：满足基本人员配置要求（5个指定岗位）得5分，每缺少1人扣1分，扣完为止；②人员储备加分：在满足基本要求的基础上，每增加1名持证项目部人员（岗位不限） 加0.5分，最多加1分。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一、评审内容：包含①施工目标②施工准备③施工平面布置与安排。 二、评审标准：完整性（内容完整、无缺失）、可实施性（步骤清晰合理）、针对性（紧扣项目实际）。 三、赋分标准：每部分（①、②、③）基于评审标准整体评价，完全满足得3分（每满足一个评审标准得1分），满分9分。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1.施工部署.docx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一、评审内容：包含①施工进度计划横道图②进度计划保证措施③工期保证措施。 二、评审标准：完整性（内容完整、无缺失）、可实施性（步骤清晰合理）、针对性（紧扣项目实际）。 三、赋分标准：每部分（①、②、③）基于评审标准整体评价，完全满足得1.5分（每满足一个评审标准得0.5分），满分4.5分。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2.施工进度计划.docx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一、评审内容：包含①工程重难点及解决措施②分部分项工程施工方法③施工质量通病防治措施。 二、评审标准：完整性（内容完整、无缺失）、可实施性（步骤清晰合理）、针对性（紧扣项目实际）。 三、赋分标准：每部分（①、②、③）基于评审标准整体评价，完全满足得4.5分（每满足一个评审标准得1.5分），满分13.5分。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3.分部分项工程施工方案.docx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一、评审内容：包含①质量目标管理体系②施工质量的检验制度③确保质量的技术组织措施④施工质量控制措施。 二、评审标准：完整性（内容完整、无缺失）、可实施性（步骤清晰合理）、针对性（紧扣项目实际）。 三、赋分标准：每部分（①、②、③、④）基于评审标准整体评价，完全满足得1.5分（每满足一个评审标准得0.5分），满分6分。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4.质量保证措施.docx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一、评审内容：包含①安全生产管理制度②安全施工措施③安全应急预案④安全生产教育。 二、评审标准：完整性（内容完整、无缺失）、可实施性（步骤清晰合理）、针对性（紧扣项目实际）。 三、赋分标准：每部分（①、②、③、④）基于评审标准整体评价，完全满足得1.5分（每满足一个评审标准得0.5分），满分6分。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5.安全施工措施.docx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一、评审内容：包含①文明施工管理目标及技术措施②文明施工现场管理（材料管理、防扰民措施）。 二、评审标准：完整性（内容完整、无缺失）、可实施性（步骤清晰合理）、针对性（紧扣项目实际）。 三、赋分标准：每部分（①、②）基于评审标准整体评价，完全满足得1.5分（每满足一个评审标准得0.5分），满分3分。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6.文明施工措施.docx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一、评审内容：包含①成品保护措施②季节性施工措施③消防保卫措施④环境保护措施。 二、评审标准：完整性（内容完整、无缺失）、可实施性（步骤清晰合理）、针对性（紧扣项目实际）。 三、赋分标准：每部分（①、②、③、④）基于评审标准整体评价，完全满足得1.5分（每满足一个评审标准得0.5分），满分6分。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7.主要管理措施.docx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一、评审内容：包含①管理机构的配备计划②组织机构的岗位职责。 二、评审标准：完整性（机构设置全面）、可实施性（步骤清晰合理）、针对性（紧扣项目实际）。 三、赋分标准：每部分（①、②）基于评审标准整体评价，完全满足得1.5分（每满足一个评审标准得0.5分），满分3分。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8.项目管理机构.docx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最终磋商报价得分 = (基准价／最终磋商报价) × 40 满足磋商文件要求且最终磋商报价最低的为基准价，其价格分为满分。其他磋商供应商的价格分统一按照上述公式计算。 （磋商小组认为供应商的最终报价明显低于其他通过符合性审查供应商的报价，有可能影响工程质量或者不能诚信履约的，应当在磋商现场提供书面说明及相关证明材料。供应商不能证明其报价合理性的，为无效磋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详见附件：近年完成类似项目情况表.docx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详见附件：1.施工部署.docx</w:t>
      </w:r>
    </w:p>
    <w:p>
      <w:pPr>
        <w:pStyle w:val="null3"/>
        <w:ind w:firstLine="960"/>
      </w:pPr>
      <w:r>
        <w:rPr>
          <w:rFonts w:ascii="仿宋_GB2312" w:hAnsi="仿宋_GB2312" w:cs="仿宋_GB2312" w:eastAsia="仿宋_GB2312"/>
        </w:rPr>
        <w:t>详见附件：2.施工进度计划.docx</w:t>
      </w:r>
    </w:p>
    <w:p>
      <w:pPr>
        <w:pStyle w:val="null3"/>
        <w:ind w:firstLine="960"/>
      </w:pPr>
      <w:r>
        <w:rPr>
          <w:rFonts w:ascii="仿宋_GB2312" w:hAnsi="仿宋_GB2312" w:cs="仿宋_GB2312" w:eastAsia="仿宋_GB2312"/>
        </w:rPr>
        <w:t>详见附件：3.分部分项工程施工方案.docx</w:t>
      </w:r>
    </w:p>
    <w:p>
      <w:pPr>
        <w:pStyle w:val="null3"/>
        <w:ind w:firstLine="960"/>
      </w:pPr>
      <w:r>
        <w:rPr>
          <w:rFonts w:ascii="仿宋_GB2312" w:hAnsi="仿宋_GB2312" w:cs="仿宋_GB2312" w:eastAsia="仿宋_GB2312"/>
        </w:rPr>
        <w:t>详见附件：4.质量保证措施.docx</w:t>
      </w:r>
    </w:p>
    <w:p>
      <w:pPr>
        <w:pStyle w:val="null3"/>
        <w:ind w:firstLine="960"/>
      </w:pPr>
      <w:r>
        <w:rPr>
          <w:rFonts w:ascii="仿宋_GB2312" w:hAnsi="仿宋_GB2312" w:cs="仿宋_GB2312" w:eastAsia="仿宋_GB2312"/>
        </w:rPr>
        <w:t>详见附件：5.安全施工措施.docx</w:t>
      </w:r>
    </w:p>
    <w:p>
      <w:pPr>
        <w:pStyle w:val="null3"/>
        <w:ind w:firstLine="960"/>
      </w:pPr>
      <w:r>
        <w:rPr>
          <w:rFonts w:ascii="仿宋_GB2312" w:hAnsi="仿宋_GB2312" w:cs="仿宋_GB2312" w:eastAsia="仿宋_GB2312"/>
        </w:rPr>
        <w:t>详见附件：6.文明施工措施.docx</w:t>
      </w:r>
    </w:p>
    <w:p>
      <w:pPr>
        <w:pStyle w:val="null3"/>
        <w:ind w:firstLine="960"/>
      </w:pPr>
      <w:r>
        <w:rPr>
          <w:rFonts w:ascii="仿宋_GB2312" w:hAnsi="仿宋_GB2312" w:cs="仿宋_GB2312" w:eastAsia="仿宋_GB2312"/>
        </w:rPr>
        <w:t>详见附件：7.主要管理措施.docx</w:t>
      </w:r>
    </w:p>
    <w:p>
      <w:pPr>
        <w:pStyle w:val="null3"/>
        <w:ind w:firstLine="960"/>
      </w:pPr>
      <w:r>
        <w:rPr>
          <w:rFonts w:ascii="仿宋_GB2312" w:hAnsi="仿宋_GB2312" w:cs="仿宋_GB2312" w:eastAsia="仿宋_GB2312"/>
        </w:rPr>
        <w:t>详见附件：8.项目管理机构.docx</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详见附件：水利工程施工合同书.docx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