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版本号：JZDCG-2025-04620251022001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白水县全民所有自然资源资产清查项目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JZDCG-2025-046</w:t>
      </w:r>
      <w:r>
        <w:br/>
      </w:r>
      <w:r>
        <w:br/>
      </w:r>
      <w:r>
        <w:br/>
      </w:r>
    </w:p>
    <w:p>
      <w:pPr>
        <w:pStyle w:val="null3"/>
        <w:jc w:val="center"/>
        <w:outlineLvl w:val="2"/>
      </w:pPr>
      <w:r>
        <w:rPr>
          <w:rFonts w:ascii="仿宋_GB2312" w:hAnsi="仿宋_GB2312" w:cs="仿宋_GB2312" w:eastAsia="仿宋_GB2312"/>
          <w:sz w:val="28"/>
          <w:b/>
        </w:rPr>
        <w:t>白水县自然资源局</w:t>
      </w:r>
    </w:p>
    <w:p>
      <w:pPr>
        <w:pStyle w:val="null3"/>
        <w:jc w:val="center"/>
        <w:outlineLvl w:val="2"/>
      </w:pPr>
      <w:r>
        <w:rPr>
          <w:rFonts w:ascii="仿宋_GB2312" w:hAnsi="仿宋_GB2312" w:cs="仿宋_GB2312" w:eastAsia="仿宋_GB2312"/>
          <w:sz w:val="28"/>
          <w:b/>
        </w:rPr>
        <w:t>陕西金准达项目管理有限责任公司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陕西金准达项目管理有限责任公司</w:t>
      </w:r>
      <w:r>
        <w:rPr>
          <w:rFonts w:ascii="仿宋_GB2312" w:hAnsi="仿宋_GB2312" w:cs="仿宋_GB2312" w:eastAsia="仿宋_GB2312"/>
        </w:rPr>
        <w:t>（以下简称“代理机构”）受</w:t>
      </w:r>
      <w:r>
        <w:rPr>
          <w:rFonts w:ascii="仿宋_GB2312" w:hAnsi="仿宋_GB2312" w:cs="仿宋_GB2312" w:eastAsia="仿宋_GB2312"/>
        </w:rPr>
        <w:t>白水县自然资源局</w:t>
      </w:r>
      <w:r>
        <w:rPr>
          <w:rFonts w:ascii="仿宋_GB2312" w:hAnsi="仿宋_GB2312" w:cs="仿宋_GB2312" w:eastAsia="仿宋_GB2312"/>
        </w:rPr>
        <w:t>委托，拟对</w:t>
      </w:r>
      <w:r>
        <w:rPr>
          <w:rFonts w:ascii="仿宋_GB2312" w:hAnsi="仿宋_GB2312" w:cs="仿宋_GB2312" w:eastAsia="仿宋_GB2312"/>
        </w:rPr>
        <w:t>白水县全民所有自然资源资产清查项目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JZDCG-2025-046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白水县全民所有自然资源资产清查项目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摸清全民所有自然资源资产家底，夯实自然资源资产管理基础，服务国有自然资源资产管理情况专项报告和全民所有自然资源资产负债表编制等工作，更好支撑履行全民所有自然资源资产所有者职责，由渭南市自然资源和规划局部署，白水县自然资源局开展全县全民所有农用地、建设用地、未利用地、未确定使用权人国有建设用地、矿产、森林、草原、湿地等自然资源清查工作，目标是摸清各类资源实物量，更新和完善资产清查价格体系，核算资产价值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采购包1（白水县全民所有自然资源资产清查项目）：属于专门面向中小企业采购。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1、主体资格证明：法人或者其他组织的营业执照等证明文件或者自然人身份证明；</w:t>
      </w:r>
    </w:p>
    <w:p>
      <w:pPr>
        <w:pStyle w:val="null3"/>
      </w:pPr>
      <w:r>
        <w:rPr>
          <w:rFonts w:ascii="仿宋_GB2312" w:hAnsi="仿宋_GB2312" w:cs="仿宋_GB2312" w:eastAsia="仿宋_GB2312"/>
        </w:rPr>
        <w:t>2、社会保障资金缴纳证明：自2025年05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p>
    <w:p>
      <w:pPr>
        <w:pStyle w:val="null3"/>
      </w:pPr>
      <w:r>
        <w:rPr>
          <w:rFonts w:ascii="仿宋_GB2312" w:hAnsi="仿宋_GB2312" w:cs="仿宋_GB2312" w:eastAsia="仿宋_GB2312"/>
        </w:rPr>
        <w:t>3、税收缴纳证明：自2025年05月01日以来已缴存的至少一个月的纳税证明或完税证明，纳税证明或完税证明上应有代收机构或税务机关的公章或业务专用章。依法免税的投标人应提供相关文件证明；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4、信用查询：未被列入“信用中国”网站（www.creditchina.gov.cn）失信被执行人和重大税收违法案件当事人名单，不得为“中国政府采购网”（www.ccgp.gov.cn）政府采购严重违法失信行为记录名单中禁止参加政府采购活动的投标人；</w:t>
      </w:r>
    </w:p>
    <w:p>
      <w:pPr>
        <w:pStyle w:val="null3"/>
      </w:pPr>
      <w:r>
        <w:rPr>
          <w:rFonts w:ascii="仿宋_GB2312" w:hAnsi="仿宋_GB2312" w:cs="仿宋_GB2312" w:eastAsia="仿宋_GB2312"/>
        </w:rPr>
        <w:t>5、法定代表人授权委托书：法定代表人参加磋商的，须提供法定代表人身份证明书；法定代表人授权他人参加磋商的，须提供法定代表人委托授权书；</w:t>
      </w:r>
    </w:p>
    <w:p>
      <w:pPr>
        <w:pStyle w:val="null3"/>
      </w:pPr>
      <w:r>
        <w:rPr>
          <w:rFonts w:ascii="仿宋_GB2312" w:hAnsi="仿宋_GB2312" w:cs="仿宋_GB2312" w:eastAsia="仿宋_GB2312"/>
        </w:rPr>
        <w:t>6、无重大违法记录：参加政府采购活动前三年内在经营活动中没有重大违法记录的声明函；</w:t>
      </w:r>
    </w:p>
    <w:p>
      <w:pPr>
        <w:pStyle w:val="null3"/>
      </w:pPr>
      <w:r>
        <w:rPr>
          <w:rFonts w:ascii="仿宋_GB2312" w:hAnsi="仿宋_GB2312" w:cs="仿宋_GB2312" w:eastAsia="仿宋_GB2312"/>
        </w:rPr>
        <w:t>7、履行合同所必需的设备和专业技术能力：提供具有履行合同所必需的设备和专业技术能力的承诺函；</w:t>
      </w:r>
    </w:p>
    <w:p>
      <w:pPr>
        <w:pStyle w:val="null3"/>
      </w:pPr>
      <w:r>
        <w:rPr>
          <w:rFonts w:ascii="仿宋_GB2312" w:hAnsi="仿宋_GB2312" w:cs="仿宋_GB2312" w:eastAsia="仿宋_GB2312"/>
        </w:rPr>
        <w:t>8、资质要求：提供具有省级自然资源行政主管部门出具的土地估价机构备案函；</w:t>
      </w:r>
    </w:p>
    <w:p>
      <w:pPr>
        <w:pStyle w:val="null3"/>
      </w:pPr>
      <w:r>
        <w:rPr>
          <w:rFonts w:ascii="仿宋_GB2312" w:hAnsi="仿宋_GB2312" w:cs="仿宋_GB2312" w:eastAsia="仿宋_GB2312"/>
        </w:rPr>
        <w:t>9、本项目不接受联合体磋商：提供非联合体声明；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白水县自然资源局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白水县雷公路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张银玲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13892328585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陕西金准达项目管理有限责任公司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西安市高新区科技五路3号橡树星座B座902室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毕云、王军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029-89555599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开户名称：陕西金准达项目管理有限责任公司项目保证金专户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银行账号：129911244910001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计价格【2002】1980号）和国家发改委办公厅颁发的《关于招标代理服务收费有关问题的通知》（发改办价格【2003】857号）文件规定标准收取；由中标人在领取中标通知书前向招标代理机构支付。 开户名称：陕西金准达项目管理有限责任公司 开户行名称：招商银行西安分行营业部 账 号：129911244910902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白水县自然资源局</w:t>
      </w:r>
      <w:r>
        <w:rPr>
          <w:rFonts w:ascii="仿宋_GB2312" w:hAnsi="仿宋_GB2312" w:cs="仿宋_GB2312" w:eastAsia="仿宋_GB2312"/>
        </w:rPr>
        <w:t>和</w:t>
      </w:r>
      <w:r>
        <w:rPr>
          <w:rFonts w:ascii="仿宋_GB2312" w:hAnsi="仿宋_GB2312" w:cs="仿宋_GB2312" w:eastAsia="仿宋_GB2312"/>
        </w:rPr>
        <w:t>陕西金准达项目管理有限责任公司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白水县自然资源局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陕西金准达项目管理有限责任公司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白水县自然资源局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陕西金准达项目管理有限责任公司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联系人：毕云、王军</w:t>
      </w:r>
    </w:p>
    <w:p>
      <w:pPr>
        <w:pStyle w:val="null3"/>
      </w:pPr>
      <w:r>
        <w:rPr>
          <w:rFonts w:ascii="仿宋_GB2312" w:hAnsi="仿宋_GB2312" w:cs="仿宋_GB2312" w:eastAsia="仿宋_GB2312"/>
        </w:rPr>
        <w:t>联系电话：029-89555599</w:t>
      </w:r>
    </w:p>
    <w:p>
      <w:pPr>
        <w:pStyle w:val="null3"/>
      </w:pPr>
      <w:r>
        <w:rPr>
          <w:rFonts w:ascii="仿宋_GB2312" w:hAnsi="仿宋_GB2312" w:cs="仿宋_GB2312" w:eastAsia="仿宋_GB2312"/>
        </w:rPr>
        <w:t>地址：西安市高新区科技五路3号橡树星座B座902室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摸清全民所有自然资源资产家底，夯实自然资源资产管理基础，服务国有自然资源资产管理情况专项报告和全民所有自然资源资产负债表编制等工作，更好支撑履行全民所有自然资源资产所有者职责，由渭南市自然资源和规划局部署，白水县自然资源局开展全县全民所有农用地、建设用地、未利用地、未确定使用权人国有建设用地、矿产、森林、草原、湿地等自然资源清查工作，目标是摸清各类资源实物量，更新和完善资产清查价格体系，核算资产价值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 白水县全民所有自然资源资产清查项目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 白水县全民所有自然资源资产清查项目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一、服务内容：</w:t>
            </w:r>
          </w:p>
          <w:p>
            <w:pPr>
              <w:pStyle w:val="null3"/>
            </w:pPr>
            <w:r>
              <w:rPr>
                <w:rFonts w:ascii="仿宋_GB2312" w:hAnsi="仿宋_GB2312" w:cs="仿宋_GB2312" w:eastAsia="仿宋_GB2312"/>
              </w:rPr>
              <w:t>1、查清实物量</w:t>
            </w:r>
          </w:p>
          <w:p>
            <w:pPr>
              <w:pStyle w:val="null3"/>
            </w:pPr>
            <w:r>
              <w:rPr>
                <w:rFonts w:ascii="仿宋_GB2312" w:hAnsi="仿宋_GB2312" w:cs="仿宋_GB2312" w:eastAsia="仿宋_GB2312"/>
              </w:rPr>
              <w:t>利用全国国土调查、年度国土变更调查、确权登记、全民所有土地资产管理信息系统、全国耕地资源分区分类评价、矿产资源储量数据库、油气矿产储量数据库、矿产资源国情调查、全国森林草原湿地荒漠化普查数据、分等定级、水资源公报、各类自然资源专项调查等成果，对白水县行政区域内各类全民所有自然资源资产的数量、质量、用途、分布等实物属性信息进行查清。</w:t>
            </w:r>
          </w:p>
          <w:p>
            <w:pPr>
              <w:pStyle w:val="null3"/>
            </w:pPr>
            <w:r>
              <w:rPr>
                <w:rFonts w:ascii="仿宋_GB2312" w:hAnsi="仿宋_GB2312" w:cs="仿宋_GB2312" w:eastAsia="仿宋_GB2312"/>
              </w:rPr>
              <w:t>2、核算价值量</w:t>
            </w:r>
          </w:p>
          <w:p>
            <w:pPr>
              <w:pStyle w:val="null3"/>
            </w:pPr>
            <w:r>
              <w:rPr>
                <w:rFonts w:ascii="仿宋_GB2312" w:hAnsi="仿宋_GB2312" w:cs="仿宋_GB2312" w:eastAsia="仿宋_GB2312"/>
              </w:rPr>
              <w:t>更新和完善全民所有自然资源资产清查价格体系，对白水县行政区域内全民所有土地、森林、草原、湿地资源资产以及县级管理的矿产资源进行价值量核算。</w:t>
            </w:r>
          </w:p>
          <w:p>
            <w:pPr>
              <w:pStyle w:val="null3"/>
            </w:pPr>
            <w:r>
              <w:rPr>
                <w:rFonts w:ascii="仿宋_GB2312" w:hAnsi="仿宋_GB2312" w:cs="仿宋_GB2312" w:eastAsia="仿宋_GB2312"/>
              </w:rPr>
              <w:t>3、理清使用权状况</w:t>
            </w:r>
          </w:p>
          <w:p>
            <w:pPr>
              <w:pStyle w:val="null3"/>
            </w:pPr>
            <w:r>
              <w:rPr>
                <w:rFonts w:ascii="仿宋_GB2312" w:hAnsi="仿宋_GB2312" w:cs="仿宋_GB2312" w:eastAsia="仿宋_GB2312"/>
              </w:rPr>
              <w:t>结合地籍调查、确权登记、矿业权登记等成果，逐步理清使用权主体及其类型、来源、年期、权利变化、合同价款等信息；</w:t>
            </w:r>
          </w:p>
          <w:p>
            <w:pPr>
              <w:pStyle w:val="null3"/>
            </w:pPr>
            <w:r>
              <w:rPr>
                <w:rFonts w:ascii="仿宋_GB2312" w:hAnsi="仿宋_GB2312" w:cs="仿宋_GB2312" w:eastAsia="仿宋_GB2312"/>
              </w:rPr>
              <w:t>4、在自然资源底图基础上，形成包含实物量图层、价值量图层、产权图层等共同构成的资产“一张图”。</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二、工作成果：</w:t>
            </w:r>
          </w:p>
          <w:p>
            <w:pPr>
              <w:pStyle w:val="null3"/>
            </w:pPr>
            <w:r>
              <w:rPr>
                <w:rFonts w:ascii="仿宋_GB2312" w:hAnsi="仿宋_GB2312" w:cs="仿宋_GB2312" w:eastAsia="仿宋_GB2312"/>
              </w:rPr>
              <w:t>1、数据成果。</w:t>
            </w:r>
          </w:p>
          <w:p>
            <w:pPr>
              <w:pStyle w:val="null3"/>
            </w:pPr>
            <w:r>
              <w:rPr>
                <w:rFonts w:ascii="仿宋_GB2312" w:hAnsi="仿宋_GB2312" w:cs="仿宋_GB2312" w:eastAsia="仿宋_GB2312"/>
              </w:rPr>
              <w:t>1）资产清查</w:t>
            </w:r>
          </w:p>
          <w:p>
            <w:pPr>
              <w:pStyle w:val="null3"/>
            </w:pPr>
            <w:r>
              <w:rPr>
                <w:rFonts w:ascii="仿宋_GB2312" w:hAnsi="仿宋_GB2312" w:cs="仿宋_GB2312" w:eastAsia="仿宋_GB2312"/>
              </w:rPr>
              <w:t>（1）全民所有农用地资产清查数据</w:t>
            </w:r>
          </w:p>
          <w:p>
            <w:pPr>
              <w:pStyle w:val="null3"/>
            </w:pPr>
            <w:r>
              <w:rPr>
                <w:rFonts w:ascii="仿宋_GB2312" w:hAnsi="仿宋_GB2312" w:cs="仿宋_GB2312" w:eastAsia="仿宋_GB2312"/>
              </w:rPr>
              <w:t>（2）全民所有建设用地资产清查数据</w:t>
            </w:r>
          </w:p>
          <w:p>
            <w:pPr>
              <w:pStyle w:val="null3"/>
            </w:pPr>
            <w:r>
              <w:rPr>
                <w:rFonts w:ascii="仿宋_GB2312" w:hAnsi="仿宋_GB2312" w:cs="仿宋_GB2312" w:eastAsia="仿宋_GB2312"/>
              </w:rPr>
              <w:t>（3）全民所有未利用地资产清查数据</w:t>
            </w:r>
          </w:p>
          <w:p>
            <w:pPr>
              <w:pStyle w:val="null3"/>
            </w:pPr>
            <w:r>
              <w:rPr>
                <w:rFonts w:ascii="仿宋_GB2312" w:hAnsi="仿宋_GB2312" w:cs="仿宋_GB2312" w:eastAsia="仿宋_GB2312"/>
              </w:rPr>
              <w:t>（4）未确定使用权人国有建设用地资产清查数据</w:t>
            </w:r>
          </w:p>
          <w:p>
            <w:pPr>
              <w:pStyle w:val="null3"/>
            </w:pPr>
            <w:r>
              <w:rPr>
                <w:rFonts w:ascii="仿宋_GB2312" w:hAnsi="仿宋_GB2312" w:cs="仿宋_GB2312" w:eastAsia="仿宋_GB2312"/>
              </w:rPr>
              <w:t>（5）矿产资源资产清查数据</w:t>
            </w:r>
          </w:p>
          <w:p>
            <w:pPr>
              <w:pStyle w:val="null3"/>
            </w:pPr>
            <w:r>
              <w:rPr>
                <w:rFonts w:ascii="仿宋_GB2312" w:hAnsi="仿宋_GB2312" w:cs="仿宋_GB2312" w:eastAsia="仿宋_GB2312"/>
              </w:rPr>
              <w:t>（6）全民所有森林资源资产清查数据</w:t>
            </w:r>
          </w:p>
          <w:p>
            <w:pPr>
              <w:pStyle w:val="null3"/>
            </w:pPr>
            <w:r>
              <w:rPr>
                <w:rFonts w:ascii="仿宋_GB2312" w:hAnsi="仿宋_GB2312" w:cs="仿宋_GB2312" w:eastAsia="仿宋_GB2312"/>
              </w:rPr>
              <w:t>（7）全民所有草原资源资产清查数据</w:t>
            </w:r>
          </w:p>
          <w:p>
            <w:pPr>
              <w:pStyle w:val="null3"/>
            </w:pPr>
            <w:r>
              <w:rPr>
                <w:rFonts w:ascii="仿宋_GB2312" w:hAnsi="仿宋_GB2312" w:cs="仿宋_GB2312" w:eastAsia="仿宋_GB2312"/>
              </w:rPr>
              <w:t>（8）全民所有湿地资源资产清查数据</w:t>
            </w:r>
          </w:p>
          <w:p>
            <w:pPr>
              <w:pStyle w:val="null3"/>
            </w:pPr>
            <w:r>
              <w:rPr>
                <w:rFonts w:ascii="仿宋_GB2312" w:hAnsi="仿宋_GB2312" w:cs="仿宋_GB2312" w:eastAsia="仿宋_GB2312"/>
              </w:rPr>
              <w:t xml:space="preserve">   2）资产清查价格体系。</w:t>
            </w:r>
          </w:p>
          <w:p>
            <w:pPr>
              <w:pStyle w:val="null3"/>
            </w:pPr>
            <w:r>
              <w:rPr>
                <w:rFonts w:ascii="仿宋_GB2312" w:hAnsi="仿宋_GB2312" w:cs="仿宋_GB2312" w:eastAsia="仿宋_GB2312"/>
              </w:rPr>
              <w:t>（1）全民所有农用地资产清查价格数据</w:t>
            </w:r>
          </w:p>
          <w:p>
            <w:pPr>
              <w:pStyle w:val="null3"/>
            </w:pPr>
            <w:r>
              <w:rPr>
                <w:rFonts w:ascii="仿宋_GB2312" w:hAnsi="仿宋_GB2312" w:cs="仿宋_GB2312" w:eastAsia="仿宋_GB2312"/>
              </w:rPr>
              <w:t>（2）全民所有建设用地资产清查价格数据</w:t>
            </w:r>
          </w:p>
          <w:p>
            <w:pPr>
              <w:pStyle w:val="null3"/>
            </w:pPr>
            <w:r>
              <w:rPr>
                <w:rFonts w:ascii="仿宋_GB2312" w:hAnsi="仿宋_GB2312" w:cs="仿宋_GB2312" w:eastAsia="仿宋_GB2312"/>
              </w:rPr>
              <w:t>（3）全民所有未利用地资产清查价格数据</w:t>
            </w:r>
          </w:p>
          <w:p>
            <w:pPr>
              <w:pStyle w:val="null3"/>
            </w:pPr>
            <w:r>
              <w:rPr>
                <w:rFonts w:ascii="仿宋_GB2312" w:hAnsi="仿宋_GB2312" w:cs="仿宋_GB2312" w:eastAsia="仿宋_GB2312"/>
              </w:rPr>
              <w:t>（4）矿产资源资产清查价格数据</w:t>
            </w:r>
          </w:p>
          <w:p>
            <w:pPr>
              <w:pStyle w:val="null3"/>
            </w:pPr>
            <w:r>
              <w:rPr>
                <w:rFonts w:ascii="仿宋_GB2312" w:hAnsi="仿宋_GB2312" w:cs="仿宋_GB2312" w:eastAsia="仿宋_GB2312"/>
              </w:rPr>
              <w:t>（5）全民所有森林资源资产清查价格数据</w:t>
            </w:r>
          </w:p>
          <w:p>
            <w:pPr>
              <w:pStyle w:val="null3"/>
            </w:pPr>
            <w:r>
              <w:rPr>
                <w:rFonts w:ascii="仿宋_GB2312" w:hAnsi="仿宋_GB2312" w:cs="仿宋_GB2312" w:eastAsia="仿宋_GB2312"/>
              </w:rPr>
              <w:t>（6）全民所有草原资源资产清查价格数据</w:t>
            </w:r>
          </w:p>
          <w:p>
            <w:pPr>
              <w:pStyle w:val="null3"/>
            </w:pPr>
            <w:r>
              <w:rPr>
                <w:rFonts w:ascii="仿宋_GB2312" w:hAnsi="仿宋_GB2312" w:cs="仿宋_GB2312" w:eastAsia="仿宋_GB2312"/>
              </w:rPr>
              <w:t xml:space="preserve">  3）价格信号数据。</w:t>
            </w:r>
          </w:p>
          <w:p>
            <w:pPr>
              <w:pStyle w:val="null3"/>
            </w:pPr>
            <w:r>
              <w:rPr>
                <w:rFonts w:ascii="仿宋_GB2312" w:hAnsi="仿宋_GB2312" w:cs="仿宋_GB2312" w:eastAsia="仿宋_GB2312"/>
              </w:rPr>
              <w:t>（1）全民所有农用地资产清查价格信号数据</w:t>
            </w:r>
          </w:p>
          <w:p>
            <w:pPr>
              <w:pStyle w:val="null3"/>
            </w:pPr>
            <w:r>
              <w:rPr>
                <w:rFonts w:ascii="仿宋_GB2312" w:hAnsi="仿宋_GB2312" w:cs="仿宋_GB2312" w:eastAsia="仿宋_GB2312"/>
              </w:rPr>
              <w:t>（2）全民所有建设用地资产清查价格信号数据</w:t>
            </w:r>
          </w:p>
          <w:p>
            <w:pPr>
              <w:pStyle w:val="null3"/>
            </w:pPr>
            <w:r>
              <w:rPr>
                <w:rFonts w:ascii="仿宋_GB2312" w:hAnsi="仿宋_GB2312" w:cs="仿宋_GB2312" w:eastAsia="仿宋_GB2312"/>
              </w:rPr>
              <w:t>（3）全民所有未利用地资产清查价格信号数据</w:t>
            </w:r>
          </w:p>
          <w:p>
            <w:pPr>
              <w:pStyle w:val="null3"/>
            </w:pPr>
            <w:r>
              <w:rPr>
                <w:rFonts w:ascii="仿宋_GB2312" w:hAnsi="仿宋_GB2312" w:cs="仿宋_GB2312" w:eastAsia="仿宋_GB2312"/>
              </w:rPr>
              <w:t>（4）矿产资源资产清查价格信号数据</w:t>
            </w:r>
          </w:p>
          <w:p>
            <w:pPr>
              <w:pStyle w:val="null3"/>
            </w:pPr>
            <w:r>
              <w:rPr>
                <w:rFonts w:ascii="仿宋_GB2312" w:hAnsi="仿宋_GB2312" w:cs="仿宋_GB2312" w:eastAsia="仿宋_GB2312"/>
              </w:rPr>
              <w:t>（5）全民所有森林资源资产清查价格信号数据</w:t>
            </w:r>
          </w:p>
          <w:p>
            <w:pPr>
              <w:pStyle w:val="null3"/>
            </w:pPr>
            <w:r>
              <w:rPr>
                <w:rFonts w:ascii="仿宋_GB2312" w:hAnsi="仿宋_GB2312" w:cs="仿宋_GB2312" w:eastAsia="仿宋_GB2312"/>
              </w:rPr>
              <w:t>（6）全民所有草原资源资产清查价格信号数据</w:t>
            </w:r>
          </w:p>
          <w:p>
            <w:pPr>
              <w:pStyle w:val="null3"/>
            </w:pPr>
            <w:r>
              <w:rPr>
                <w:rFonts w:ascii="仿宋_GB2312" w:hAnsi="仿宋_GB2312" w:cs="仿宋_GB2312" w:eastAsia="仿宋_GB2312"/>
              </w:rPr>
              <w:t>2、文字成果。</w:t>
            </w:r>
          </w:p>
          <w:p>
            <w:pPr>
              <w:pStyle w:val="null3"/>
            </w:pPr>
            <w:r>
              <w:rPr>
                <w:rFonts w:ascii="仿宋_GB2312" w:hAnsi="仿宋_GB2312" w:cs="仿宋_GB2312" w:eastAsia="仿宋_GB2312"/>
              </w:rPr>
              <w:t xml:space="preserve">  1）《全民所有自然资源资产清查总结报告》</w:t>
            </w:r>
          </w:p>
          <w:p>
            <w:pPr>
              <w:pStyle w:val="null3"/>
            </w:pPr>
            <w:r>
              <w:rPr>
                <w:rFonts w:ascii="仿宋_GB2312" w:hAnsi="仿宋_GB2312" w:cs="仿宋_GB2312" w:eastAsia="仿宋_GB2312"/>
              </w:rPr>
              <w:t xml:space="preserve">  2）《全民所有自然资源资产清查质检报告》</w:t>
            </w:r>
          </w:p>
          <w:p>
            <w:pPr>
              <w:pStyle w:val="null3"/>
            </w:pPr>
            <w:r>
              <w:rPr>
                <w:rFonts w:ascii="仿宋_GB2312" w:hAnsi="仿宋_GB2312" w:cs="仿宋_GB2312" w:eastAsia="仿宋_GB2312"/>
              </w:rPr>
              <w:t>3、图件成果</w:t>
            </w:r>
          </w:p>
          <w:p>
            <w:pPr>
              <w:pStyle w:val="null3"/>
            </w:pPr>
            <w:r>
              <w:rPr>
                <w:rFonts w:ascii="仿宋_GB2312" w:hAnsi="仿宋_GB2312" w:cs="仿宋_GB2312" w:eastAsia="仿宋_GB2312"/>
              </w:rPr>
              <w:t>各类资源资产清查专题图</w:t>
            </w:r>
          </w:p>
          <w:p>
            <w:pPr>
              <w:pStyle w:val="null3"/>
            </w:pPr>
            <w:r>
              <w:rPr>
                <w:rFonts w:ascii="仿宋_GB2312" w:hAnsi="仿宋_GB2312" w:cs="仿宋_GB2312" w:eastAsia="仿宋_GB2312"/>
              </w:rPr>
              <w:t>4、数据库成果</w:t>
            </w:r>
          </w:p>
          <w:p>
            <w:pPr>
              <w:pStyle w:val="null3"/>
            </w:pPr>
            <w:r>
              <w:rPr>
                <w:rFonts w:ascii="仿宋_GB2312" w:hAnsi="仿宋_GB2312" w:cs="仿宋_GB2312" w:eastAsia="仿宋_GB2312"/>
              </w:rPr>
              <w:t>县级资产清查成果数据库。</w:t>
            </w:r>
          </w:p>
          <w:p>
            <w:pPr>
              <w:pStyle w:val="null3"/>
            </w:pPr>
            <w:r>
              <w:rPr>
                <w:rFonts w:ascii="仿宋_GB2312" w:hAnsi="仿宋_GB2312" w:cs="仿宋_GB2312" w:eastAsia="仿宋_GB2312"/>
              </w:rPr>
              <w:t>5、成果要求</w:t>
            </w:r>
          </w:p>
          <w:p>
            <w:pPr>
              <w:pStyle w:val="null3"/>
            </w:pPr>
            <w:r>
              <w:rPr>
                <w:rFonts w:ascii="仿宋_GB2312" w:hAnsi="仿宋_GB2312" w:cs="仿宋_GB2312" w:eastAsia="仿宋_GB2312"/>
              </w:rPr>
              <w:t xml:space="preserve">  1）成果提交：具体提交成果及提交成果形式（数据成果、纸质文字成果等）以白水县自然资源局、渭南市自然资源和规划局及陕西省自然资源厅工作要求为准。</w:t>
            </w:r>
          </w:p>
          <w:p>
            <w:pPr>
              <w:pStyle w:val="null3"/>
            </w:pPr>
            <w:r>
              <w:rPr>
                <w:rFonts w:ascii="仿宋_GB2312" w:hAnsi="仿宋_GB2312" w:cs="仿宋_GB2312" w:eastAsia="仿宋_GB2312"/>
              </w:rPr>
              <w:t xml:space="preserve"> 2）成果核查：提交的资产清查工作成果，必须通过白水县自然资源局、渭南市自然资源和规划局、陕西省自然资源厅核查。</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三、编制依据</w:t>
            </w:r>
          </w:p>
          <w:p>
            <w:pPr>
              <w:pStyle w:val="null3"/>
            </w:pPr>
            <w:r>
              <w:rPr>
                <w:rFonts w:ascii="仿宋_GB2312" w:hAnsi="仿宋_GB2312" w:cs="仿宋_GB2312" w:eastAsia="仿宋_GB2312"/>
              </w:rPr>
              <w:t>（一）法规和政策文件：</w:t>
            </w:r>
          </w:p>
          <w:p>
            <w:pPr>
              <w:pStyle w:val="null3"/>
            </w:pPr>
            <w:r>
              <w:rPr>
                <w:rFonts w:ascii="仿宋_GB2312" w:hAnsi="仿宋_GB2312" w:cs="仿宋_GB2312" w:eastAsia="仿宋_GB2312"/>
              </w:rPr>
              <w:t>1、《自然资源部关于全面开展全民所有自然资源资产清查工作的通知》（自然资发〔2024〕127号）；</w:t>
            </w:r>
          </w:p>
          <w:p>
            <w:pPr>
              <w:pStyle w:val="null3"/>
            </w:pPr>
            <w:r>
              <w:rPr>
                <w:rFonts w:ascii="仿宋_GB2312" w:hAnsi="仿宋_GB2312" w:cs="仿宋_GB2312" w:eastAsia="仿宋_GB2312"/>
              </w:rPr>
              <w:t>2、《陕西省自然资源厅关于印发&lt;陕西省全民所有自然资源资产清查实施方案&gt;的通知》（陕自然资发〔2024〕1247号）；</w:t>
            </w:r>
          </w:p>
          <w:p>
            <w:pPr>
              <w:pStyle w:val="null3"/>
            </w:pPr>
            <w:r>
              <w:rPr>
                <w:rFonts w:ascii="仿宋_GB2312" w:hAnsi="仿宋_GB2312" w:cs="仿宋_GB2312" w:eastAsia="仿宋_GB2312"/>
              </w:rPr>
              <w:t>3、《渭南市自然资源和规划局关于印发&lt;渭南市全民所有自然资源资产清查实施方案&gt;的通知》（渭自然资发〔2024〕299号）等政策文件。</w:t>
            </w:r>
          </w:p>
          <w:p>
            <w:pPr>
              <w:pStyle w:val="null3"/>
            </w:pPr>
            <w:r>
              <w:rPr>
                <w:rFonts w:ascii="仿宋_GB2312" w:hAnsi="仿宋_GB2312" w:cs="仿宋_GB2312" w:eastAsia="仿宋_GB2312"/>
              </w:rPr>
              <w:t>（二）技术标准规范：</w:t>
            </w:r>
          </w:p>
          <w:p>
            <w:pPr>
              <w:pStyle w:val="null3"/>
            </w:pPr>
            <w:r>
              <w:rPr>
                <w:rFonts w:ascii="仿宋_GB2312" w:hAnsi="仿宋_GB2312" w:cs="仿宋_GB2312" w:eastAsia="仿宋_GB2312"/>
              </w:rPr>
              <w:t>1、《全民所有自然资源资产清查工作方案》；</w:t>
            </w:r>
          </w:p>
          <w:p>
            <w:pPr>
              <w:pStyle w:val="null3"/>
            </w:pPr>
            <w:r>
              <w:rPr>
                <w:rFonts w:ascii="仿宋_GB2312" w:hAnsi="仿宋_GB2312" w:cs="仿宋_GB2312" w:eastAsia="仿宋_GB2312"/>
              </w:rPr>
              <w:t>2、《全民所有自然资源资产清查技术指南》；</w:t>
            </w:r>
          </w:p>
          <w:p>
            <w:pPr>
              <w:pStyle w:val="null3"/>
            </w:pPr>
            <w:r>
              <w:rPr>
                <w:rFonts w:ascii="仿宋_GB2312" w:hAnsi="仿宋_GB2312" w:cs="仿宋_GB2312" w:eastAsia="仿宋_GB2312"/>
              </w:rPr>
              <w:t>3、《陕西省全民所有自然资源资产清查实施方案》；</w:t>
            </w:r>
          </w:p>
          <w:p>
            <w:pPr>
              <w:pStyle w:val="null3"/>
            </w:pPr>
            <w:r>
              <w:rPr>
                <w:rFonts w:ascii="仿宋_GB2312" w:hAnsi="仿宋_GB2312" w:cs="仿宋_GB2312" w:eastAsia="仿宋_GB2312"/>
              </w:rPr>
              <w:t>4、《渭南市全民所有自然资源资产清查实施方案》。</w:t>
            </w:r>
          </w:p>
          <w:p>
            <w:pPr>
              <w:pStyle w:val="null3"/>
            </w:pPr>
            <w:r>
              <w:rPr>
                <w:rFonts w:ascii="仿宋_GB2312" w:hAnsi="仿宋_GB2312" w:cs="仿宋_GB2312" w:eastAsia="仿宋_GB2312"/>
              </w:rPr>
              <w:t>在服务期间，如遇上级政策调整，应按上级新的时间要求和新的政策要求，对所做成果进行调整和完善，并满足采购人对本项目的使用。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（1）根据本项目具体实施内容、时间安排，科学、合理配置不少于5人，确保服务按期完成。 （2）在项目执行过程中，应根据采购人要求，以及项目具体情况，适时增加人员。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根据本项目具体实施内容、时间安排，科学、合理配置设施设备，确保服务按期完成。</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项目实施前，供应商先进行前期考察，根据考察结果并综合投标方案，编制整体实施方案，实施方案经采购人审核后方可实施。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自合同签订之日起至2026年6月30日前完成白水县全民所有自然资源资产清查成果。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渭南市白水县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符合国家、省、市相关验收标准，达到合格标准要求。 完成全民所有自然资源资产清查、工作成果通过白水县自然资源局、渭南市自然资源和规划局、陕西省自然资源厅核查。</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工作成果汇交市级自然资源监管部门核查通过</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工作成果汇交省级自然资源监管部门核查通过且向甲方按照约定内容提交最终成果后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（1）服务质量：符合相关法规及政策文件、技术规范标准，质量“合格”。 （2）服务标准：按照相关法规及政策文件、技术规范标准执行。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财务审计报告（至少包括资产负债表、利润表、现金流量表及财务报表附注，成立时间至提交投标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一般资格审查证明材料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一般资格审查证明材料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05月01日以来已缴存的至少一个月的社会保障资金缴存单据或社保机构开具的社会保险参保缴费情况证明，单据或证明上应有社保机构或代收机构的公章或业务专用章。依法不需要缴纳社会保障资金的投标人应提供相关证明文件；</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自2025年05月01日以来已缴存的至少一个月的纳税证明或完税证明，纳税证明或完税证明上应有代收机构或税务机关的公章或业务专用章。依法免税的投标人应提供相关文件证明；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得为“中国政府采购网”（www.ccgp.gov.cn）政府采购严重违法失信行为记录名单中禁止参加政府采购活动的投标人；</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法定代表人参加磋商的，须提供法定代表人身份证明书；法定代表人授权他人参加磋商的，须提供法定代表人委托授权书；</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参加政府采购活动前三年内在经营活动中没有重大违法记录的声明函；</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提供具有省级自然资源行政主管部门出具的土地估价机构备案函；</w:t>
            </w:r>
          </w:p>
        </w:tc>
        <w:tc>
          <w:tcPr>
            <w:tcW w:type="dxa" w:w="1661"/>
          </w:tcPr>
          <w:p>
            <w:pPr>
              <w:pStyle w:val="null3"/>
            </w:pPr>
            <w:r>
              <w:rPr>
                <w:rFonts w:ascii="仿宋_GB2312" w:hAnsi="仿宋_GB2312" w:cs="仿宋_GB2312" w:eastAsia="仿宋_GB2312"/>
              </w:rPr>
              <w:t>特殊资格审查证明材料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特殊资格审查证明材料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 xml:space="preserve"> 应逐页盖章</w:t>
            </w:r>
          </w:p>
        </w:tc>
        <w:tc>
          <w:tcPr>
            <w:tcW w:type="dxa" w:w="1661"/>
          </w:tcPr>
          <w:p>
            <w:pPr>
              <w:pStyle w:val="null3"/>
            </w:pPr>
            <w:r>
              <w:rPr>
                <w:rFonts w:ascii="仿宋_GB2312" w:hAnsi="仿宋_GB2312" w:cs="仿宋_GB2312" w:eastAsia="仿宋_GB2312"/>
              </w:rPr>
              <w:t>类似项目业绩一览表 中小企业声明函 报价表 特殊资格审查证明材料 商务条款及其他要求响应偏离表 响应文件封面 残疾人福利性单位声明函 一般资格审查证明材料 服务方案 标的清单 响应函 服务内容及服务要求响应偏离表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合同履行期限（服务期限）</w:t>
            </w:r>
          </w:p>
        </w:tc>
        <w:tc>
          <w:tcPr>
            <w:tcW w:type="dxa" w:w="3322"/>
          </w:tcPr>
          <w:p>
            <w:pPr>
              <w:pStyle w:val="null3"/>
            </w:pPr>
            <w:r>
              <w:rPr>
                <w:rFonts w:ascii="仿宋_GB2312" w:hAnsi="仿宋_GB2312" w:cs="仿宋_GB2312" w:eastAsia="仿宋_GB2312"/>
              </w:rPr>
              <w:t>应满足磋商文件中要求的合同履行期限（服务期限）</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 xml:space="preserve"> 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要求全面响应，不能附有采购人不能接受的其他条件。</w:t>
            </w:r>
          </w:p>
        </w:tc>
        <w:tc>
          <w:tcPr>
            <w:tcW w:type="dxa" w:w="1661"/>
          </w:tcPr>
          <w:p>
            <w:pPr>
              <w:pStyle w:val="null3"/>
            </w:pPr>
            <w:r>
              <w:rPr>
                <w:rFonts w:ascii="仿宋_GB2312" w:hAnsi="仿宋_GB2312" w:cs="仿宋_GB2312" w:eastAsia="仿宋_GB2312"/>
              </w:rPr>
              <w:t>响应文件封面 类似项目业绩一览表 一般资格审查证明材料 服务方案 标的清单 报价表 响应函 特殊资格审查证明材料 服务内容及服务要求响应偏离表 商务条款及其他要求响应偏离表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包含但不限于：①项目理解；②整体认知等内容。 1、项目解读准确，理解认知深刻、全面得(5-6]分； 2、项目解读较准确，理解认知较深刻、较全面得(3-5]分； 3、项目解读基本满足项目需求，理解认知基本满足项目需求得(1-3]分； 4、项目解读较差，实施规划较差，理解认知不全面、较差的得(0-1]分； 5、未提供项目理解的不得分。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实物量查清实施方案</w:t>
            </w:r>
          </w:p>
        </w:tc>
        <w:tc>
          <w:tcPr>
            <w:tcW w:type="dxa" w:w="2492"/>
          </w:tcPr>
          <w:p>
            <w:pPr>
              <w:pStyle w:val="null3"/>
            </w:pPr>
            <w:r>
              <w:rPr>
                <w:rFonts w:ascii="仿宋_GB2312" w:hAnsi="仿宋_GB2312" w:cs="仿宋_GB2312" w:eastAsia="仿宋_GB2312"/>
              </w:rPr>
              <w:t>包含但不限于：①工程流程；②工作内容；③质量控制措施；④重难点分析等内容。 1、流程详细，工作内容全面，质量控制措施完善，重难点分析针对性强的得(10-12]分； 2、流程较详细，工作内容较全面，质量控制措施较完善，重难点分析针对性较强得(7-10]分； 3、流程一般，工作内容一般，质量控制措施、重难点分析基本满足采购需求的得(3-7]分； 4、流程不详细，工作内容较差，质量控制措施、重难点分析较差的得(0-3]分； 5、未提供方案的不得分。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价值量核算实施方案</w:t>
            </w:r>
          </w:p>
        </w:tc>
        <w:tc>
          <w:tcPr>
            <w:tcW w:type="dxa" w:w="2492"/>
          </w:tcPr>
          <w:p>
            <w:pPr>
              <w:pStyle w:val="null3"/>
            </w:pPr>
            <w:r>
              <w:rPr>
                <w:rFonts w:ascii="仿宋_GB2312" w:hAnsi="仿宋_GB2312" w:cs="仿宋_GB2312" w:eastAsia="仿宋_GB2312"/>
              </w:rPr>
              <w:t>包含但不限于：①工作流程；②工作内容；③质量控制措施；④重难点分析等内容。 1、流程详细，工作内容全面，质量控制措施完善，重难点分析针对性强的得(10-12]分； 2、流程较详细，工作内容较全面，质量控制措施较完善，重难点分析针对性较强得(7-10]分； 3、流程一般，工作内容一般，质量控制措施、重难点分析基本满足采购需求的得(3-7]分； 4、流程不详细，工作内容较差，质量控制措施、重难点分析较差的得(0-3]分； 5、未提供方案的不得分。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使用权理清实施方案</w:t>
            </w:r>
          </w:p>
        </w:tc>
        <w:tc>
          <w:tcPr>
            <w:tcW w:type="dxa" w:w="2492"/>
          </w:tcPr>
          <w:p>
            <w:pPr>
              <w:pStyle w:val="null3"/>
            </w:pPr>
            <w:r>
              <w:rPr>
                <w:rFonts w:ascii="仿宋_GB2312" w:hAnsi="仿宋_GB2312" w:cs="仿宋_GB2312" w:eastAsia="仿宋_GB2312"/>
              </w:rPr>
              <w:t>包含但不限于：①工作流程；②工作内容；③质量控制措施；④重难点分析等内容。 1、流程详细，工作内容全面，质量控制措施完善，重难点分析针对性强的得(10-12]分； 2、流程较详细，工作内容较全面，质量控制措施较完善，重难点分析针对性较强得(7-10]分； 3、流程一般，工作内容一般，质量控制措施、重难点分析基本满足采购需求的得(3-7]分； 4、流程不详细，工作内容较差，质量控制措施、重难点分析较差的得(0-3]分； 5、未提供方案的不得分。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成果编制实施方案</w:t>
            </w:r>
          </w:p>
        </w:tc>
        <w:tc>
          <w:tcPr>
            <w:tcW w:type="dxa" w:w="2492"/>
          </w:tcPr>
          <w:p>
            <w:pPr>
              <w:pStyle w:val="null3"/>
            </w:pPr>
            <w:r>
              <w:rPr>
                <w:rFonts w:ascii="仿宋_GB2312" w:hAnsi="仿宋_GB2312" w:cs="仿宋_GB2312" w:eastAsia="仿宋_GB2312"/>
              </w:rPr>
              <w:t>包含但不限于：①编制大纲；②编制内容；③反馈与沟通管理等内容。 1、大纲条理清晰，内容详细完善，反馈沟通实施性强的得(6-9]分； 2、大纲条理较清晰，内容较详细较完善，反馈沟通实施性较强的得(4-6]分； 3、大纲条理基本清晰，内容基本完善，反馈沟通实施性一般的得(2-4]分； 4、大纲条理较差，内容一般，反馈沟通实施性较差的得(0-2]分； 5、未提供方案的不得分。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服务进度控制措施</w:t>
            </w:r>
          </w:p>
        </w:tc>
        <w:tc>
          <w:tcPr>
            <w:tcW w:type="dxa" w:w="2492"/>
          </w:tcPr>
          <w:p>
            <w:pPr>
              <w:pStyle w:val="null3"/>
            </w:pPr>
            <w:r>
              <w:rPr>
                <w:rFonts w:ascii="仿宋_GB2312" w:hAnsi="仿宋_GB2312" w:cs="仿宋_GB2312" w:eastAsia="仿宋_GB2312"/>
              </w:rPr>
              <w:t>包括但不限于：①项目进度目标；②各项工作进度的保证措施；③影响进度的情况预估及应对等内容。 1、进度目标明确、各阶段进度的保障措施完善、详细的得(6-9]分； 2、进度目标较明确、各阶段进度的保障措施较完善、详细的得(4-6]分； 3、进度目标一般、各阶段进度的保障措施基本完成本项目的得(2-4]分； 4、进度目标不清晰明确、各阶段进度的保障措施较差的得(0-2]分； 5、未提供服务进度控制措施的不得分。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服务人员配备</w:t>
            </w:r>
          </w:p>
        </w:tc>
        <w:tc>
          <w:tcPr>
            <w:tcW w:type="dxa" w:w="2492"/>
          </w:tcPr>
          <w:p>
            <w:pPr>
              <w:pStyle w:val="null3"/>
            </w:pPr>
            <w:r>
              <w:rPr>
                <w:rFonts w:ascii="仿宋_GB2312" w:hAnsi="仿宋_GB2312" w:cs="仿宋_GB2312" w:eastAsia="仿宋_GB2312"/>
              </w:rPr>
              <w:t>包括但不限于：①人员配备情况；②各项工作岗位分工及职责；③人员岗前培训及考核等内容。 1、人员整体配备齐全、合理，岗位分工职责详细、明确；人员培训、考核制度完善、严谨的得(6-9]分； 2、人员整体配备较齐全合理，岗位分工职责较详细、明确；人员培训、考核制度较完善的得(4-6]分； 3、人员整体配备一般，岗位分工职责基本明确；人员培训、考核制度一般的得(2-4]分； 4、人员整体配备较差，岗位分工职责不明确；人员培训、考核制度较差的得(0-2]分； 5、未提供服务人员配备方案不得分。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包括但不限于：①数据、资料等相关信息的保密方案；②内部保密制度等内容。 1、各保密方案、措施、制度完善、合理得(5-6]分； 2、各保密方案、措施、制度较完善、较合理得(3-5]分； 3、各保密方案、措施、制度一般得(1-3]分； 4、各保密方案、措施、制度较差得(0-1]分； 5、未提供保密措施的不得分。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针对项目特点提供切实可行的服务承诺，包括但不限于①项目执行中服务保障承诺；② 其他优惠服务承诺等。 1、承诺内容具有实质性、指标明确，切实可行得(3-5]分； 2、承诺内容一般、指标基本明确，可行性一般得(2-3]分； 3、承诺内容空泛，可行性差得(0-2]分； 4、未提供服务承诺不得分。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提供2022年1月1日起至今完成项目类似业绩，每有1项得2分，最高得10分； 注：业绩以签订时间为准，须提供合同复印件，并加盖公章，未提供或不清晰导致无法识别的不予认可。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满足磋商文件要求且最终报价最低的供应商的价格为磋商基准价得10分，其他各供应商的最终报价得分按下列公式计算：（磋商基准价/最终磋商报价）×10％×100。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详见附件：一般资格审查证明材料</w:t>
      </w:r>
    </w:p>
    <w:p>
      <w:pPr>
        <w:pStyle w:val="null3"/>
        <w:ind w:firstLine="960"/>
      </w:pPr>
      <w:r>
        <w:rPr>
          <w:rFonts w:ascii="仿宋_GB2312" w:hAnsi="仿宋_GB2312" w:cs="仿宋_GB2312" w:eastAsia="仿宋_GB2312"/>
        </w:rPr>
        <w:t>详见附件：特殊资格审查证明材料</w:t>
      </w:r>
    </w:p>
    <w:p>
      <w:pPr>
        <w:pStyle w:val="null3"/>
        <w:ind w:firstLine="960"/>
      </w:pPr>
      <w:r>
        <w:rPr>
          <w:rFonts w:ascii="仿宋_GB2312" w:hAnsi="仿宋_GB2312" w:cs="仿宋_GB2312" w:eastAsia="仿宋_GB2312"/>
        </w:rPr>
        <w:t>详见附件：服务内容及服务要求响应偏离表</w:t>
      </w:r>
    </w:p>
    <w:p>
      <w:pPr>
        <w:pStyle w:val="null3"/>
        <w:ind w:firstLine="960"/>
      </w:pPr>
      <w:r>
        <w:rPr>
          <w:rFonts w:ascii="仿宋_GB2312" w:hAnsi="仿宋_GB2312" w:cs="仿宋_GB2312" w:eastAsia="仿宋_GB2312"/>
        </w:rPr>
        <w:t>详见附件：商务条款及其他要求响应偏离表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详见附件：类似项目业绩一览表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