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版本号：PTZX-2025-ZC03220251215003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白水县林皋高速引线绿化亮化提升项目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PTZX-2025-ZC032</w:t>
      </w:r>
      <w:r>
        <w:br/>
      </w:r>
      <w:r>
        <w:br/>
      </w:r>
      <w:r>
        <w:br/>
      </w:r>
    </w:p>
    <w:p>
      <w:pPr>
        <w:pStyle w:val="null3"/>
        <w:jc w:val="center"/>
        <w:outlineLvl w:val="2"/>
      </w:pPr>
      <w:r>
        <w:rPr>
          <w:rFonts w:ascii="仿宋_GB2312" w:hAnsi="仿宋_GB2312" w:cs="仿宋_GB2312" w:eastAsia="仿宋_GB2312"/>
          <w:sz w:val="28"/>
          <w:b/>
        </w:rPr>
        <w:t>白水县林业局</w:t>
      </w:r>
    </w:p>
    <w:p>
      <w:pPr>
        <w:pStyle w:val="null3"/>
        <w:jc w:val="center"/>
        <w:outlineLvl w:val="2"/>
      </w:pPr>
      <w:r>
        <w:rPr>
          <w:rFonts w:ascii="仿宋_GB2312" w:hAnsi="仿宋_GB2312" w:cs="仿宋_GB2312" w:eastAsia="仿宋_GB2312"/>
          <w:sz w:val="28"/>
          <w:b/>
        </w:rPr>
        <w:t>鹏泰（陕西）项目管理咨询有限责任公司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鹏泰（陕西）项目管理咨询有限责任公司</w:t>
      </w:r>
      <w:r>
        <w:rPr>
          <w:rFonts w:ascii="仿宋_GB2312" w:hAnsi="仿宋_GB2312" w:cs="仿宋_GB2312" w:eastAsia="仿宋_GB2312"/>
        </w:rPr>
        <w:t>（以下简称“代理机构”）受</w:t>
      </w:r>
      <w:r>
        <w:rPr>
          <w:rFonts w:ascii="仿宋_GB2312" w:hAnsi="仿宋_GB2312" w:cs="仿宋_GB2312" w:eastAsia="仿宋_GB2312"/>
        </w:rPr>
        <w:t>白水县林业局</w:t>
      </w:r>
      <w:r>
        <w:rPr>
          <w:rFonts w:ascii="仿宋_GB2312" w:hAnsi="仿宋_GB2312" w:cs="仿宋_GB2312" w:eastAsia="仿宋_GB2312"/>
        </w:rPr>
        <w:t>委托，拟对</w:t>
      </w:r>
      <w:r>
        <w:rPr>
          <w:rFonts w:ascii="仿宋_GB2312" w:hAnsi="仿宋_GB2312" w:cs="仿宋_GB2312" w:eastAsia="仿宋_GB2312"/>
        </w:rPr>
        <w:t>白水县林皋高速引线绿化亮化提升项目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PTZX-2025-ZC032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白水县林皋高速引线绿化亮化提升项目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1、项目建设地点：白水县林皋高速引线两侧 2、项目概况：项目南起342国道与高东村十字路口、北至林皋高速收费站，主要建设内容为栽植白皮松373株、复叶槭45株、紫荆150株、白毛杨189株、大花月季53丛，共计757株。道路两侧安装太阳能路灯66盏，灯高12米。 3、工期：60日历天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采购包1（白水县林皋高速引线绿化亮化提升项目）：属于专门面向中小企业采购。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税收缴纳证明：提供投标截止日前近一年内任意一个月的纳税证明或完税证明（任意税种），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8、无违法情况说明：参加政府采购活动前3年内，在经营活动中没有重大违法记录的书面声明；供应商需在项目电子化交易系统中按要求上传相应证明文件并进行电子签章。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9、资质要求：供应商须具备建设行政主管部门颁发的市政公用工程施工总承包叁级及以上资质（含三级）、有效的安全生产许可证；供应商需在项目电子化交易系统中按要求上传相应证明文件并进行电子签章。</w:t>
      </w:r>
    </w:p>
    <w:p>
      <w:pPr>
        <w:pStyle w:val="null3"/>
      </w:pPr>
      <w:r>
        <w:rPr>
          <w:rFonts w:ascii="仿宋_GB2312" w:hAnsi="仿宋_GB2312" w:cs="仿宋_GB2312" w:eastAsia="仿宋_GB2312"/>
        </w:rPr>
        <w:t>10、项目经理：拟派项目经理（本单位在职人员）须具有市政公用工程专业贰级及以上注册建造师执业资格，具备有效的安全生产考核合格B证，且无在建项目，无不良记录；并提供本单位近三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11、不接受联合体投标：本项目不接受联合体投标（提供承诺书）；供应商需在项目电子化交易系统中按要求上传相应证明文件并进行电子签章。</w:t>
      </w:r>
    </w:p>
    <w:p>
      <w:pPr>
        <w:pStyle w:val="null3"/>
      </w:pPr>
      <w:r>
        <w:rPr>
          <w:rFonts w:ascii="仿宋_GB2312" w:hAnsi="仿宋_GB2312" w:cs="仿宋_GB2312" w:eastAsia="仿宋_GB2312"/>
        </w:rPr>
        <w:t>12、专门面向中小企业采购：中小企业声明函；供应商需在项目电子化交易系统中按要求上传相应证明文件并进行电子签章。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白水县林业局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白水县枫叶丽都</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史永康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18292431161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鹏泰（陕西）项目管理咨询有限责任公司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陕西省西安市莲湖区陕西省西安市莲湖区龙首北路西段11号甘肃省离休干部西安休养所东9栋202室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19929278073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白水县政府采购管理股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13991639110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采购包1：892,178.41元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开户名称：鹏泰（陕西）项目管理咨询有限责任公司</w:t>
            </w:r>
          </w:p>
          <w:p>
            <w:pPr>
              <w:pStyle w:val="null3"/>
            </w:pPr>
            <w:r>
              <w:rPr>
                <w:rFonts w:ascii="仿宋_GB2312" w:hAnsi="仿宋_GB2312" w:cs="仿宋_GB2312" w:eastAsia="仿宋_GB2312"/>
              </w:rPr>
              <w:t>开户银行：中国建设银行股份有限公司西安元朔路支行</w:t>
            </w:r>
          </w:p>
          <w:p>
            <w:pPr>
              <w:pStyle w:val="null3"/>
            </w:pPr>
            <w:r>
              <w:rPr>
                <w:rFonts w:ascii="仿宋_GB2312" w:hAnsi="仿宋_GB2312" w:cs="仿宋_GB2312" w:eastAsia="仿宋_GB2312"/>
              </w:rPr>
              <w:t>银行账号：6105 0111 7695 0000 0789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约定，参照国家计委关于《招标代理服务收费管理暂行办法》（计价格〔2002〕1980号）、《国家发展改革委关于降低部分建设项目收费标准规范收费行为等有关问题的通知》（发改价格〔2011〕534号），以成交价为基数计算，按标准的100%收取。根据“财库[2018]2号-财政部关于印发《政府采购代理机构管理暂行办法》的通知”第十五条规定，双方约定代理服务费由成交供应商支付，领取成交通知书时一次性付清。收款单位：鹏泰(陕西)项目管理咨询有限责任公司 开 户 行：中国建设银行股份有限公司西安凤城八路支行 账 号：6105017178000 0000926</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白水县林业局</w:t>
      </w:r>
      <w:r>
        <w:rPr>
          <w:rFonts w:ascii="仿宋_GB2312" w:hAnsi="仿宋_GB2312" w:cs="仿宋_GB2312" w:eastAsia="仿宋_GB2312"/>
        </w:rPr>
        <w:t>和</w:t>
      </w:r>
      <w:r>
        <w:rPr>
          <w:rFonts w:ascii="仿宋_GB2312" w:hAnsi="仿宋_GB2312" w:cs="仿宋_GB2312" w:eastAsia="仿宋_GB2312"/>
        </w:rPr>
        <w:t>鹏泰（陕西）项目管理咨询有限责任公司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白水县林业局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鹏泰（陕西）项目管理咨询有限责任公司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白水县林业局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鹏泰（陕西）项目管理咨询有限责任公司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联系人：杨蕾</w:t>
      </w:r>
    </w:p>
    <w:p>
      <w:pPr>
        <w:pStyle w:val="null3"/>
      </w:pPr>
      <w:r>
        <w:rPr>
          <w:rFonts w:ascii="仿宋_GB2312" w:hAnsi="仿宋_GB2312" w:cs="仿宋_GB2312" w:eastAsia="仿宋_GB2312"/>
        </w:rPr>
        <w:t>联系电话：19929278073</w:t>
      </w:r>
    </w:p>
    <w:p>
      <w:pPr>
        <w:pStyle w:val="null3"/>
      </w:pPr>
      <w:r>
        <w:rPr>
          <w:rFonts w:ascii="仿宋_GB2312" w:hAnsi="仿宋_GB2312" w:cs="仿宋_GB2312" w:eastAsia="仿宋_GB2312"/>
        </w:rPr>
        <w:t>地址：西安市未央区北二环正荣天寓8号楼2单元1216室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892,178.41</w:t>
      </w:r>
    </w:p>
    <w:p>
      <w:pPr>
        <w:pStyle w:val="null3"/>
      </w:pPr>
      <w:r>
        <w:rPr>
          <w:rFonts w:ascii="仿宋_GB2312" w:hAnsi="仿宋_GB2312" w:cs="仿宋_GB2312" w:eastAsia="仿宋_GB2312"/>
        </w:rPr>
        <w:t>采购包最高限价（元）: 892,178.41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 白水县林皋高速引线绿化亮化提升项目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892,178.41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 白水县林皋高速引线绿化亮化提升项目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sz w:val="24"/>
                <w:b/>
                <w:color w:val="000000"/>
              </w:rPr>
              <w:t>一、项目说明</w:t>
            </w:r>
          </w:p>
          <w:p>
            <w:pPr>
              <w:pStyle w:val="null3"/>
              <w:ind w:firstLine="240"/>
            </w:pPr>
            <w:r>
              <w:rPr>
                <w:rFonts w:ascii="仿宋_GB2312" w:hAnsi="仿宋_GB2312" w:cs="仿宋_GB2312" w:eastAsia="仿宋_GB2312"/>
                <w:sz w:val="24"/>
                <w:color w:val="000000"/>
              </w:rPr>
              <w:t>1、项目名称：白水县林皋高速引线绿化亮化提升项目</w:t>
            </w:r>
          </w:p>
          <w:p>
            <w:pPr>
              <w:pStyle w:val="null3"/>
              <w:ind w:right="105" w:firstLine="240"/>
            </w:pPr>
            <w:r>
              <w:rPr>
                <w:rFonts w:ascii="仿宋_GB2312" w:hAnsi="仿宋_GB2312" w:cs="仿宋_GB2312" w:eastAsia="仿宋_GB2312"/>
                <w:sz w:val="24"/>
                <w:color w:val="000000"/>
              </w:rPr>
              <w:t>2、项目建设地点：白水县林皋高速引线两侧</w:t>
            </w:r>
          </w:p>
          <w:p>
            <w:pPr>
              <w:pStyle w:val="null3"/>
              <w:ind w:right="105" w:firstLine="240"/>
            </w:pPr>
            <w:r>
              <w:rPr>
                <w:rFonts w:ascii="仿宋_GB2312" w:hAnsi="仿宋_GB2312" w:cs="仿宋_GB2312" w:eastAsia="仿宋_GB2312"/>
                <w:sz w:val="24"/>
                <w:color w:val="000000"/>
              </w:rPr>
              <w:t>3</w:t>
            </w:r>
            <w:r>
              <w:rPr>
                <w:rFonts w:ascii="仿宋_GB2312" w:hAnsi="仿宋_GB2312" w:cs="仿宋_GB2312" w:eastAsia="仿宋_GB2312"/>
                <w:sz w:val="24"/>
                <w:color w:val="000000"/>
              </w:rPr>
              <w:t>、项目概况：项目南起</w:t>
            </w:r>
            <w:r>
              <w:rPr>
                <w:rFonts w:ascii="仿宋_GB2312" w:hAnsi="仿宋_GB2312" w:cs="仿宋_GB2312" w:eastAsia="仿宋_GB2312"/>
                <w:sz w:val="24"/>
                <w:color w:val="000000"/>
              </w:rPr>
              <w:t>342国道与高东村十字路口、北至林皋高速收费站，主要建设内容为栽植白皮松373株、复叶槭45株、紫荆150株、白毛杨189株、大花月季53丛，共计757株。道路两侧安装太阳能路灯66盏，灯高12米。（具体详见磋商文件、工程量清单和图纸）</w:t>
            </w:r>
          </w:p>
          <w:p>
            <w:pPr>
              <w:pStyle w:val="null3"/>
              <w:ind w:firstLine="240"/>
            </w:pPr>
            <w:r>
              <w:rPr>
                <w:rFonts w:ascii="仿宋_GB2312" w:hAnsi="仿宋_GB2312" w:cs="仿宋_GB2312" w:eastAsia="仿宋_GB2312"/>
                <w:sz w:val="24"/>
                <w:color w:val="000000"/>
              </w:rPr>
              <w:t>4、工期：60日历天</w:t>
            </w:r>
          </w:p>
          <w:p>
            <w:pPr>
              <w:pStyle w:val="null3"/>
              <w:spacing w:before="30"/>
              <w:ind w:left="30"/>
            </w:pPr>
            <w:r>
              <w:rPr>
                <w:rFonts w:ascii="仿宋_GB2312" w:hAnsi="仿宋_GB2312" w:cs="仿宋_GB2312" w:eastAsia="仿宋_GB2312"/>
                <w:sz w:val="24"/>
                <w:b/>
                <w:color w:val="000000"/>
              </w:rPr>
              <w:t>二、建设条件</w:t>
            </w:r>
          </w:p>
          <w:p>
            <w:pPr>
              <w:pStyle w:val="null3"/>
              <w:spacing w:before="180"/>
              <w:ind w:left="510"/>
            </w:pPr>
            <w:r>
              <w:rPr>
                <w:rFonts w:ascii="仿宋_GB2312" w:hAnsi="仿宋_GB2312" w:cs="仿宋_GB2312" w:eastAsia="仿宋_GB2312"/>
                <w:sz w:val="24"/>
                <w:color w:val="000000"/>
              </w:rPr>
              <w:t>现场三通一平，已具备施工条件。</w:t>
            </w:r>
          </w:p>
          <w:p>
            <w:pPr>
              <w:pStyle w:val="null3"/>
              <w:spacing w:before="180"/>
              <w:ind w:left="30"/>
            </w:pPr>
            <w:r>
              <w:rPr>
                <w:rFonts w:ascii="仿宋_GB2312" w:hAnsi="仿宋_GB2312" w:cs="仿宋_GB2312" w:eastAsia="仿宋_GB2312"/>
                <w:sz w:val="24"/>
                <w:b/>
                <w:color w:val="000000"/>
              </w:rPr>
              <w:t>三、工程质量要求与验收依据</w:t>
            </w:r>
          </w:p>
          <w:p>
            <w:pPr>
              <w:pStyle w:val="null3"/>
              <w:spacing w:before="180"/>
              <w:ind w:left="15" w:right="105" w:firstLine="498"/>
            </w:pPr>
            <w:r>
              <w:rPr>
                <w:rFonts w:ascii="仿宋_GB2312" w:hAnsi="仿宋_GB2312" w:cs="仿宋_GB2312" w:eastAsia="仿宋_GB2312"/>
                <w:sz w:val="24"/>
                <w:color w:val="000000"/>
              </w:rPr>
              <w:t>1.质量要求：成交供应商必须严格按照有关施工和验收规范进行施工，保证工程质量通过有关部门验收达到本工程的质量要求。</w:t>
            </w:r>
          </w:p>
          <w:p>
            <w:pPr>
              <w:pStyle w:val="null3"/>
              <w:spacing w:before="30"/>
              <w:ind w:left="30" w:right="105" w:firstLine="479"/>
            </w:pPr>
            <w:r>
              <w:rPr>
                <w:rFonts w:ascii="仿宋_GB2312" w:hAnsi="仿宋_GB2312" w:cs="仿宋_GB2312" w:eastAsia="仿宋_GB2312"/>
                <w:sz w:val="24"/>
                <w:color w:val="000000"/>
              </w:rPr>
              <w:t>2.验收方法：验收应按建筑工程适用的规范或标准及其它相关的规范和标准执行。</w:t>
            </w:r>
          </w:p>
          <w:p>
            <w:pPr>
              <w:pStyle w:val="null3"/>
              <w:spacing w:before="30"/>
              <w:ind w:left="30" w:right="105" w:firstLine="480"/>
              <w:jc w:val="both"/>
            </w:pPr>
            <w:r>
              <w:rPr>
                <w:rFonts w:ascii="仿宋_GB2312" w:hAnsi="仿宋_GB2312" w:cs="仿宋_GB2312" w:eastAsia="仿宋_GB2312"/>
                <w:sz w:val="24"/>
                <w:color w:val="000000"/>
              </w:rPr>
              <w:t>依据设计文件要求，本工程项目的材料、设备、施工必须达到现行中华人民共和国及省、市、行业的一切有关工程建设标准、法规、规范的要求，如标准及规范要求有出入则以较严格者为准。</w:t>
            </w:r>
          </w:p>
          <w:p>
            <w:pPr>
              <w:pStyle w:val="null3"/>
              <w:spacing w:before="30"/>
              <w:ind w:left="45"/>
            </w:pPr>
            <w:r>
              <w:rPr>
                <w:rFonts w:ascii="仿宋_GB2312" w:hAnsi="仿宋_GB2312" w:cs="仿宋_GB2312" w:eastAsia="仿宋_GB2312"/>
                <w:sz w:val="24"/>
                <w:b/>
                <w:color w:val="000000"/>
              </w:rPr>
              <w:t>四、其他要求</w:t>
            </w:r>
          </w:p>
          <w:p>
            <w:pPr>
              <w:pStyle w:val="null3"/>
              <w:spacing w:before="180"/>
              <w:ind w:left="30" w:right="105" w:firstLine="492"/>
            </w:pPr>
            <w:r>
              <w:rPr>
                <w:rFonts w:ascii="仿宋_GB2312" w:hAnsi="仿宋_GB2312" w:cs="仿宋_GB2312" w:eastAsia="仿宋_GB2312"/>
                <w:sz w:val="24"/>
                <w:color w:val="000000"/>
              </w:rPr>
              <w:t>1.根据工程设计要求，该项工程项目的材料、设备、施工除必须达到以上标准外，还应满足设计要求和采购人在竞争性磋商文件中的有关要求。</w:t>
            </w:r>
          </w:p>
          <w:p>
            <w:pPr>
              <w:pStyle w:val="null3"/>
              <w:spacing w:before="30"/>
              <w:ind w:left="30" w:right="105" w:firstLine="482"/>
            </w:pPr>
            <w:r>
              <w:rPr>
                <w:rFonts w:ascii="仿宋_GB2312" w:hAnsi="仿宋_GB2312" w:cs="仿宋_GB2312" w:eastAsia="仿宋_GB2312"/>
                <w:sz w:val="24"/>
                <w:color w:val="000000"/>
              </w:rPr>
              <w:t>2.有关涉及消防、环保等专业规范要求的产品须经当地消防、环保等部门同意认可。</w:t>
            </w:r>
          </w:p>
          <w:p>
            <w:pPr>
              <w:pStyle w:val="null3"/>
              <w:spacing w:before="30"/>
              <w:ind w:left="30" w:right="105" w:firstLine="479"/>
            </w:pPr>
            <w:r>
              <w:rPr>
                <w:rFonts w:ascii="仿宋_GB2312" w:hAnsi="仿宋_GB2312" w:cs="仿宋_GB2312" w:eastAsia="仿宋_GB2312"/>
                <w:sz w:val="24"/>
                <w:color w:val="000000"/>
              </w:rPr>
              <w:t>3.该工程项目的材料、设备、施工如无上述 1、2 条的标准，在材料、设备的定货采购和施工安装时，应出具生产厂家或施工安装企业在技术监督部门已备案企</w:t>
            </w:r>
            <w:r>
              <w:rPr>
                <w:rFonts w:ascii="仿宋_GB2312" w:hAnsi="仿宋_GB2312" w:cs="仿宋_GB2312" w:eastAsia="仿宋_GB2312"/>
                <w:sz w:val="24"/>
                <w:color w:val="000000"/>
              </w:rPr>
              <w:t>业标准，并经业主批准后方可实施。</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1.合格2.工程质量必须符合国家、省、市现行有效的施工质量验收规范、规程和标准。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绿化工程内容承办人需保活。因承包人原因造成质量不合格，须无条件返工至合格，并承担由此产生的一切费用及延误责任。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合同支付约定： 1、 付款条件说明： 正式进场施工后 ，达到付款条件起 10 日内，支付合同总金额的 30.00%。 2、 付款条件说明： 工程完成初步验收 ，达到付款条件起 10 日内，支付合同总金额的 40.00%。 3、 付款条件说明： 按实际完成工程量据实结算剩余价款。 ，达到付款条件起 10 日内，支付合同总金额的 30.00%。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残疾人福利性单位声明函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（3）《关于促进残疾人就业政府采购政策的通知》（财库〔2017〕141号）； （4）《节能产品政府采购实施意见》（财库〔2004〕185号）； （5）《环境标志产品政府采购实施的意见》（财库〔2006〕90号）； （6）《国务院办公厅关于建立政府强制采购节能产品制度的通知》（国办发〔2007〕51号）；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（10）《关于发布参与实施政府采购节能产品、环境标志产品认证机构名录的公告》（2019年第16号)； （11）《关于运用政府采购政策支持乡村产业振兴的通知》（财库〔2021〕19号）； （12）陕西省财政厅关于印发《陕西省中小企业政府采购信用融资办法》（陕财办采〔2018〕23号），相关政策、业务流程、办理平台（详见http://www.ccgp-shaanxi.gov.cn/zcdservice/zcd/shanxi/）； （13）《陕西省财政厅关于加快推进我省中小企业政府采购信用融资工作的通知》（陕财办采〔2020〕15号）； （14）《关于进一步加强政府绿色采购有关问题的通知》（陕财办采〔2021〕29号）； （15）《陕西省财政厅陕西省工业和信息化厅关于运用政府采购政策支持首台（套）及创新产品有关事项的通知》（陕财办采〔2021〕17号）； （16）《关于进一步加大政府采购支持中小企业力度的通知》（财库〔2022〕19号）、《关于落实政府采购支持中小企业政策有关事项的通知》（陕财办采函〔2022〕10号）； （17）其他需要落实的政府采购政策。</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w:t>
            </w:r>
          </w:p>
        </w:tc>
        <w:tc>
          <w:tcPr>
            <w:tcW w:type="dxa" w:w="3322"/>
          </w:tcPr>
          <w:p>
            <w:pPr>
              <w:pStyle w:val="null3"/>
            </w:pPr>
            <w:r>
              <w:rPr>
                <w:rFonts w:ascii="仿宋_GB2312" w:hAnsi="仿宋_GB2312" w:cs="仿宋_GB2312" w:eastAsia="仿宋_GB2312"/>
              </w:rPr>
              <w:t>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法人、委托人须本单位在职人员，并提供供应商单位近3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提供2024年度的财务审计报告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供应商须具备建设行政主管部门颁发的市政公用工程施工总承包叁级及以上资质（含三级）、有效的安全生产许可证；供应商需在项目电子化交易系统中按要求上传相应证明文件并进行电子签章。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本单位在职人员）须具有市政公用工程专业贰级及以上注册建造师执业资格，具备有效的安全生产考核合格B证，且无在建项目，无不良记录；并提供本单位近三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专门面向中小企业采购</w:t>
            </w:r>
          </w:p>
        </w:tc>
        <w:tc>
          <w:tcPr>
            <w:tcW w:type="dxa" w:w="3322"/>
          </w:tcPr>
          <w:p>
            <w:pPr>
              <w:pStyle w:val="null3"/>
            </w:pPr>
            <w:r>
              <w:rPr>
                <w:rFonts w:ascii="仿宋_GB2312" w:hAnsi="仿宋_GB2312" w:cs="仿宋_GB2312" w:eastAsia="仿宋_GB2312"/>
              </w:rPr>
              <w:t>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磋商报价是固定价且唯一，不得提交选择性报价，且标价不得高于等于采购预算。</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业绩.docx 已标价工程量清单 中小企业声明函 技术服务合同条款及其他商务要求应答表 施工组织设计.docx 响应文件封面 项目管理机构组成表 残疾人福利性单位声明函 报价函 标的清单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供应商名称应与营业执照等资料相一致</w:t>
            </w:r>
          </w:p>
        </w:tc>
        <w:tc>
          <w:tcPr>
            <w:tcW w:type="dxa" w:w="1661"/>
          </w:tcPr>
          <w:p>
            <w:pPr>
              <w:pStyle w:val="null3"/>
            </w:pPr>
            <w:r>
              <w:rPr>
                <w:rFonts w:ascii="仿宋_GB2312" w:hAnsi="仿宋_GB2312" w:cs="仿宋_GB2312" w:eastAsia="仿宋_GB2312"/>
              </w:rPr>
              <w:t>业绩.docx 已标价工程量清单 中小企业声明函 技术服务合同条款及其他商务要求应答表 施工组织设计.docx 响应文件封面 项目管理机构组成表 残疾人福利性单位声明函 报价函 标的清单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按照磋商文件要求缴纳</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响应文件有效期满足采购文件的要求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施工部署及临时设施临时用地表</w:t>
            </w:r>
          </w:p>
        </w:tc>
        <w:tc>
          <w:tcPr>
            <w:tcW w:type="dxa" w:w="2492"/>
          </w:tcPr>
          <w:p>
            <w:pPr>
              <w:pStyle w:val="null3"/>
            </w:pPr>
            <w:r>
              <w:rPr>
                <w:rFonts w:ascii="仿宋_GB2312" w:hAnsi="仿宋_GB2312" w:cs="仿宋_GB2312" w:eastAsia="仿宋_GB2312"/>
              </w:rPr>
              <w:t>a.对本项目的施工部署及临时设施临时用地表安排科学，得5分； b.对本项目的施工部署及临时设施临时用地表基本能满足本项目的要求的，得3分； c.不响应或无此项内容得0分。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①基本要求：项目部人员组成除项目经理、项目总工外不少于8人，配备施工员、质量员、安全员、材料员、资料员，预算员，造价员，财务各1人，满足此项要求得基本分8分，少1人扣1分，扣完为止；评审依据：所有人员须为本公司在职人员，人员证明材料为有效的岗位证书或职称证书，以供应商加盖公章的复印件或扫描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a.风险清单全面（≥5类），应急预案包含响应流程、责任人及备用资源（如备用发电机、医疗点），得3分； b.风险清单一般，预案仅有流程无资源保障，得1.5分； c.仅列举风险无具体预案得0分。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根据供应商提供的技术组织措施(包括但不限于①总工期满足要求；②延误工期补救措施有效性)进行综合评审。 前述要求的方案内容均有描述且符合本项目要求的得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包括但不限于①内容全面性；②方案合理性；③方案可行性进行综合评审。 前述要求的方案内容均有描述且符合本项目要求的得15分；每缺少一项要求的方案内容扣5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2.5分，扣完为止。不提供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施工机械配备和材料投入计划及劳动力安排计划</w:t>
            </w:r>
          </w:p>
        </w:tc>
        <w:tc>
          <w:tcPr>
            <w:tcW w:type="dxa" w:w="2492"/>
          </w:tcPr>
          <w:p>
            <w:pPr>
              <w:pStyle w:val="null3"/>
            </w:pPr>
            <w:r>
              <w:rPr>
                <w:rFonts w:ascii="仿宋_GB2312" w:hAnsi="仿宋_GB2312" w:cs="仿宋_GB2312" w:eastAsia="仿宋_GB2312"/>
              </w:rPr>
              <w:t>a.对本项目的施工机械配备和材料投入计划及劳动力安排计划安排科学，机械、劳务投入力量充足，得5分； b.施工机械配备和材料投入计划及劳动力安排计划基本能满足本项目的要求的，得3分； c.不响应或无此项内容得0分。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供应商的业绩</w:t>
            </w:r>
          </w:p>
        </w:tc>
        <w:tc>
          <w:tcPr>
            <w:tcW w:type="dxa" w:w="2492"/>
          </w:tcPr>
          <w:p>
            <w:pPr>
              <w:pStyle w:val="null3"/>
            </w:pPr>
            <w:r>
              <w:rPr>
                <w:rFonts w:ascii="仿宋_GB2312" w:hAnsi="仿宋_GB2312" w:cs="仿宋_GB2312" w:eastAsia="仿宋_GB2312"/>
              </w:rPr>
              <w:t>供应商提供2022年11月至今（以合同签订时间为准）的类似项目业绩，需提供合同复印件或扫描件并加盖公章，作为证明材料。 每提供一份得2分，满分为10分，不得重复累计。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根据供应商提供的质量控制方案(包括但不限于①质量控制标准；②质量控制措施)进行综合评审。 前述要求的方案内容均有描述且符合本项目要求的得8分；每缺少一项要求的方案内容扣4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2分，扣完为止。不提供方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1.安全目标明确性（2分）：明确具体安全事故发生率控制目标得2分，无明确目标得0分。 2.安全体系健全度（2分）：体系包含安全管理制度、人员培训、应急演练、应急措施等环节，每缺一项扣0.5分，扣完为止。 3.应急预案可行性（2分）：应急预案涵盖①常见安全事故场景；②应对措施合理；每缺一项扣1分，扣完为止。 4.文明施工措施具体性（2分）：措施包含场地整洁、噪音控制、扬尘治理、垃圾处理等内容，每缺一项扣0.5分，扣完为止。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磋商报价采用低价优先法计算，即满足竞争性磋商文件要求且最后磋商报价最低的报价为评审基准价，其价格分为满分。其他供应商的价格分统一按照下列公式计算： 磋商报价得分=（评审基准价/最后磋商报价）×30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