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版本号：ZBZB-2025-278420251125001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白水县详细规划编制单元划定项目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ZBZB-2025-2784</w:t>
      </w:r>
      <w:r>
        <w:br/>
      </w:r>
      <w:r>
        <w:br/>
      </w:r>
      <w:r>
        <w:br/>
      </w:r>
    </w:p>
    <w:p>
      <w:pPr>
        <w:pStyle w:val="null3"/>
        <w:jc w:val="center"/>
        <w:outlineLvl w:val="2"/>
      </w:pPr>
      <w:r>
        <w:rPr>
          <w:rFonts w:ascii="仿宋_GB2312" w:hAnsi="仿宋_GB2312" w:cs="仿宋_GB2312" w:eastAsia="仿宋_GB2312"/>
          <w:sz w:val="28"/>
          <w:b/>
        </w:rPr>
        <w:t>白水县自然资源局</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白水县自然资源局</w:t>
      </w:r>
      <w:r>
        <w:rPr>
          <w:rFonts w:ascii="仿宋_GB2312" w:hAnsi="仿宋_GB2312" w:cs="仿宋_GB2312" w:eastAsia="仿宋_GB2312"/>
        </w:rPr>
        <w:t>委托，拟对</w:t>
      </w:r>
      <w:r>
        <w:rPr>
          <w:rFonts w:ascii="仿宋_GB2312" w:hAnsi="仿宋_GB2312" w:cs="仿宋_GB2312" w:eastAsia="仿宋_GB2312"/>
        </w:rPr>
        <w:t>白水县详细规划编制单元划定项目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ZBZB-2025-2784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白水县详细规划编制单元划定项目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白水县详细规划编制单元划定项目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采购包1（白水县详细规划编制单元划定项目）：属于专门面向中小企业采购。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2、资质要求：具备相关行政主管部门颁发的城乡规划编制乙级及以上资质。</w:t>
      </w:r>
    </w:p>
    <w:p>
      <w:pPr>
        <w:pStyle w:val="null3"/>
      </w:pPr>
      <w:r>
        <w:rPr>
          <w:rFonts w:ascii="仿宋_GB2312" w:hAnsi="仿宋_GB2312" w:cs="仿宋_GB2312" w:eastAsia="仿宋_GB2312"/>
        </w:rPr>
        <w:t>3、法定代表人授权书：法定代表人授权书（附法定代表人身份证复印件）及被授权人身份证复印件（法定代表人直接参加投标须出具法定代表人证明书及法定代表人身份证复印件）；</w:t>
      </w:r>
    </w:p>
    <w:p>
      <w:pPr>
        <w:pStyle w:val="null3"/>
      </w:pPr>
      <w:r>
        <w:rPr>
          <w:rFonts w:ascii="仿宋_GB2312" w:hAnsi="仿宋_GB2312" w:cs="仿宋_GB2312" w:eastAsia="仿宋_GB2312"/>
        </w:rPr>
        <w:t>4、财务状况：财务状况：提供2023年或2024年的财务审计报告（成立时间至提交投标文件截止时间不足一年的可提供成立后任意时段的资产负债表）；或其基本存款账户开户银行出具开标前半年内的资信证明；</w:t>
      </w:r>
    </w:p>
    <w:p>
      <w:pPr>
        <w:pStyle w:val="null3"/>
      </w:pPr>
      <w:r>
        <w:rPr>
          <w:rFonts w:ascii="仿宋_GB2312" w:hAnsi="仿宋_GB2312" w:cs="仿宋_GB2312" w:eastAsia="仿宋_GB2312"/>
        </w:rPr>
        <w:t>5、完税证明：完税证明：提供2024年11月至今已缴纳的至少三个月的纳税证明或完税证明，依法免税的单位应提供相关证明材料；</w:t>
      </w:r>
    </w:p>
    <w:p>
      <w:pPr>
        <w:pStyle w:val="null3"/>
      </w:pPr>
      <w:r>
        <w:rPr>
          <w:rFonts w:ascii="仿宋_GB2312" w:hAnsi="仿宋_GB2312" w:cs="仿宋_GB2312" w:eastAsia="仿宋_GB2312"/>
        </w:rPr>
        <w:t>6、社保缴纳情况：社保缴纳情况：提供2024年11月至今已缴存的至少三个月的社会保障资金缴存单据或社保机构开具的社会保险参保缴费情况证明，依法不需要缴纳社会保障资金的单位应提供相关证明材料；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9、信用要求：供应商未被“信用中国（中国执行信息公开网）列为失信被执行人、重大税收违法失信主体，未被中国政府采购网（www.ccgp.gov.cn）列入政府采购严重违法失信行为记录名单。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10、磋商担保：磋商担保：须提供磋商保证金交纳凭证（银行汇（存）款回执单）或磋商担保函，复印件须加盖投标人公章。</w:t>
      </w:r>
    </w:p>
    <w:p>
      <w:pPr>
        <w:pStyle w:val="null3"/>
      </w:pPr>
      <w:r>
        <w:rPr>
          <w:rFonts w:ascii="仿宋_GB2312" w:hAnsi="仿宋_GB2312" w:cs="仿宋_GB2312" w:eastAsia="仿宋_GB2312"/>
        </w:rPr>
        <w:t>11、本项目专门面向中小企业采购项目，需提供中小企业声明函：本项目专门面向中小企业采购项目，需提供中小企业声明函</w:t>
      </w:r>
    </w:p>
    <w:p>
      <w:pPr>
        <w:pStyle w:val="null3"/>
      </w:pPr>
      <w:r>
        <w:rPr>
          <w:rFonts w:ascii="仿宋_GB2312" w:hAnsi="仿宋_GB2312" w:cs="仿宋_GB2312" w:eastAsia="仿宋_GB2312"/>
        </w:rPr>
        <w:t>12、本项目不接受联合体磋商：本项目不接受联合体磋商（提供声明函）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17829433500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开户银行：平安银行西安分行营业部/平安银行西安分行</w:t>
            </w:r>
          </w:p>
          <w:p>
            <w:pPr>
              <w:pStyle w:val="null3"/>
            </w:pPr>
            <w:r>
              <w:rPr>
                <w:rFonts w:ascii="仿宋_GB2312" w:hAnsi="仿宋_GB2312" w:cs="仿宋_GB2312" w:eastAsia="仿宋_GB2312"/>
              </w:rPr>
              <w:t>银行账号：30205380002002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缴费信息如下： 开户名称：陕西正邦招标有限责任公司 开户银行：平安银行西安分行营业部/平安银行西安分行 银行账号：30205380002002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白水县自然资源局</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白水县详细规划编制单元划定项目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白水县详细规划编制单元划定项目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白水县详细规划编制单元划定项目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规划范围覆盖白水县行政辖区内的全部国土空间，总面积为</w:t>
            </w:r>
            <w:r>
              <w:rPr>
                <w:rFonts w:ascii="仿宋_GB2312" w:hAnsi="仿宋_GB2312" w:cs="仿宋_GB2312" w:eastAsia="仿宋_GB2312"/>
                <w:sz w:val="21"/>
              </w:rPr>
              <w:t>983.95平方千米，包括1个街道(城关街道)和7个镇(尧禾镇、杜康镇、西固镇、林皋镇、史官镇、北塬镇、雷牙镇)。按照《陕西省详细规划编制单元划定指南(试行)》要求，详规单元划定成果包括划定报告、划定图件和数据库等。按照《陕西省国土空间详细规划编制单元划定成果汇交要求与质检操作手册(讨论稿)》要求，成果数据包括:规划文档资料、规划栅格图件、矢量数据、规划表格、数据说明文档和成果报送清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完成成果报告初稿，经自然资源部门审核通过后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成果报告通过上级批复，并提交成果资料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1.供应商缴纳保证金时请备注：ZBZB-2025-2784保证金。 2.（1）为保证项目存档使用供应商须提交纸质响应文件正本壹份、副本贰份。（2）纸质响应文件正、副本分别胶装递交，递交截止时间：开标后2个工作日之内（联系人：张工；联系电话：029-85578186-821；地址：西安市雁塔区朱雀大街南段69号长丰园三区5号楼9层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具备相关行政主管部门颁发的城乡规划编制乙级及以上资质。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法定代表人授权书（附法定代表人身份证复印件）及被授权人身份证复印件（法定代表人直接参加投标须出具法定代表人证明书及法定代表人身份证复印件）；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财务状况：提供2023年或2024年的财务审计报告（成立时间至提交投标文件截止时间不足一年的可提供成立后任意时段的资产负债表）；或其基本存款账户开户银行出具开标前半年内的资信证明；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完税证明：提供2024年11月至今已缴纳的至少三个月的纳税证明或完税证明，依法免税的单位应提供相关证明材料；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社保缴纳情况：提供2024年11月至今已缴存的至少三个月的社会保障资金缴存单据或社保机构开具的社会保险参保缴费情况证明，依法不需要缴纳社会保障资金的单位应提供相关证明材料；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供应商未被“信用中国（中国执行信息公开网）列为失信被执行人、重大税收违法失信主体，未被中国政府采购网（www.ccgp.gov.cn）列入政府采购严重违法失信行为记录名单。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磋商担保</w:t>
            </w:r>
          </w:p>
        </w:tc>
        <w:tc>
          <w:tcPr>
            <w:tcW w:type="dxa" w:w="3322"/>
          </w:tcPr>
          <w:p>
            <w:pPr>
              <w:pStyle w:val="null3"/>
            </w:pPr>
            <w:r>
              <w:rPr>
                <w:rFonts w:ascii="仿宋_GB2312" w:hAnsi="仿宋_GB2312" w:cs="仿宋_GB2312" w:eastAsia="仿宋_GB2312"/>
              </w:rPr>
              <w:t>磋商担保：须提供磋商保证金交纳凭证（银行汇（存）款回执单）或磋商担保函，复印件须加盖投标人公章。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本项目专门面向中小企业采购项目，需提供中小企业声明函</w:t>
            </w:r>
          </w:p>
        </w:tc>
        <w:tc>
          <w:tcPr>
            <w:tcW w:type="dxa" w:w="3322"/>
          </w:tcPr>
          <w:p>
            <w:pPr>
              <w:pStyle w:val="null3"/>
            </w:pPr>
            <w:r>
              <w:rPr>
                <w:rFonts w:ascii="仿宋_GB2312" w:hAnsi="仿宋_GB2312" w:cs="仿宋_GB2312" w:eastAsia="仿宋_GB2312"/>
              </w:rPr>
              <w:t>本项目专门面向中小企业采购项目，需提供中小企业声明函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项目总体思路</w:t>
            </w:r>
          </w:p>
        </w:tc>
        <w:tc>
          <w:tcPr>
            <w:tcW w:type="dxa" w:w="2492"/>
          </w:tcPr>
          <w:p>
            <w:pPr>
              <w:pStyle w:val="null3"/>
            </w:pPr>
            <w:r>
              <w:rPr>
                <w:rFonts w:ascii="仿宋_GB2312" w:hAnsi="仿宋_GB2312" w:cs="仿宋_GB2312" w:eastAsia="仿宋_GB2312"/>
              </w:rPr>
              <w:t>总体思路清晰，有条理性，实施方案能全面满足服务采购要求，计 5 分；总体思路基本清晰，欠缺条理性，实施方案基本满足要求，计 3 分；总体思路不清晰，条理性欠缺计 1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详细规划编制 单元划定工作技术方案</w:t>
            </w:r>
          </w:p>
        </w:tc>
        <w:tc>
          <w:tcPr>
            <w:tcW w:type="dxa" w:w="2492"/>
          </w:tcPr>
          <w:p>
            <w:pPr>
              <w:pStyle w:val="null3"/>
            </w:pPr>
            <w:r>
              <w:rPr>
                <w:rFonts w:ascii="仿宋_GB2312" w:hAnsi="仿宋_GB2312" w:cs="仿宋_GB2312" w:eastAsia="仿宋_GB2312"/>
              </w:rPr>
              <w:t>根据供应商对本项目的工作方案进行评审，包括但不限于以下内 容：①工作准备阶段②资料收集与分析整理阶段③内业/外业数据处理分析阶段④实地调研⑤成果编制阶段⑥听证会及相关部门征求意见等相关材料整理⑦协调论证及修改完善阶段⑧成果上报验收阶段⑨成果移交⑩成果打印装订 方案各部分内容全面详细、阐述条理清晰详尽、符合本项目采购需求，能有效保障本项目实施的计 20 分。以上分项每缺少一项内容扣 2.0 分；有某一项不完整或不符合实际要求或不满足实施要求或套用其他项目内容的每项得 1.0 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项目重点难点创新点及对应措施建议</w:t>
            </w:r>
          </w:p>
        </w:tc>
        <w:tc>
          <w:tcPr>
            <w:tcW w:type="dxa" w:w="2492"/>
          </w:tcPr>
          <w:p>
            <w:pPr>
              <w:pStyle w:val="null3"/>
            </w:pPr>
            <w:r>
              <w:rPr>
                <w:rFonts w:ascii="仿宋_GB2312" w:hAnsi="仿宋_GB2312" w:cs="仿宋_GB2312" w:eastAsia="仿宋_GB2312"/>
              </w:rPr>
              <w:t>根据供应商针对本项目提出服务过程中涉及的重大关键问题，对问题的理解与解决方案进行综合打分。 对关键问题理解透彻、全面，能够提出行之有效的方案策略，且优于采购需求的，得 5 分；对关键问题理解较透彻、全面，能够提出比较有效的方案策略，能够满足采购需求的，得 3 分；对关键问题理解不透彻、全面，提出方案策略可行性较差，承诺经过后期改进能够满足采购需求的，得 1 分；没有内容或其情况不满足磋商文件需求的不得分。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项目进度及保障措施</w:t>
            </w:r>
          </w:p>
        </w:tc>
        <w:tc>
          <w:tcPr>
            <w:tcW w:type="dxa" w:w="2492"/>
          </w:tcPr>
          <w:p>
            <w:pPr>
              <w:pStyle w:val="null3"/>
            </w:pPr>
            <w:r>
              <w:rPr>
                <w:rFonts w:ascii="仿宋_GB2312" w:hAnsi="仿宋_GB2312" w:cs="仿宋_GB2312" w:eastAsia="仿宋_GB2312"/>
              </w:rPr>
              <w:t>供应商针对本项目提供进度安排，包括进度安排、进度控制措施。进度措施健全且优于采购需求的，得 10 分；制定的措施较齐全、方案表述有偏差、但不影响实质性进度安排、能够满足采购需求的，得 6 分；有进度安排内容、但方案内容笼统、针对本项目制定未细致、但承诺经过后期优化可实现进度要求的，得 3 分。没有内容或其情况不满足磋商文件需求的不得分。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项目质量管理保障措施</w:t>
            </w:r>
          </w:p>
        </w:tc>
        <w:tc>
          <w:tcPr>
            <w:tcW w:type="dxa" w:w="2492"/>
          </w:tcPr>
          <w:p>
            <w:pPr>
              <w:pStyle w:val="null3"/>
            </w:pPr>
            <w:r>
              <w:rPr>
                <w:rFonts w:ascii="仿宋_GB2312" w:hAnsi="仿宋_GB2312" w:cs="仿宋_GB2312" w:eastAsia="仿宋_GB2312"/>
              </w:rPr>
              <w:t>供应商针对本项目提供质量保障措施。质量保障措施及服务方案针对性、可执行性高且优于采购需求，得 10 分；质量保障措施及服务方案针对性、可执行性较高，能够满足采购需求得 6 分；质量保障措施及服务方案针对性、可执行性一般，但承诺后期能够实现采购需求的得 3 分；没有内容或其情况不满足磋商文件需求的不得分。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针对本项目有后续服务（不限于后续服务范围、服务方式、响应时间、后续人员到位情况等）方案措施； 后续服务措施及承诺全面具体、科学合理、可行性强的得 10 分； 后续服务措施及承诺较为全面具体、合理性较好、基本可行的得 6 分； 后续 服务措施及承诺缺少关键点、不完善、可行性低的得 3 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根据供应商对本项目提供的拟派项目团队进行评审，包括但不限于以下内容： ①拟投入本项目团队人员清单，清单至少包括姓名、分工等；②人员配备合理性； ③人员岗位职责。 方案各部分内容全面详细、阐述条理清晰详尽、符合本项目采购需求，能有效 保障本项目实施的计 9 分。以上分项每缺少一项内容扣 3 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根据供应商对本项目提供的工作保密措施进行评审，包括但不限于以下内容： ①保密内容；②保密措施及处置预案；③保密制度。 方案各部分内容全面详细、阐述条理清晰详尽、符合本项目采购需求，能有效保障本项目实施的计 9 分。以上分项每缺少一项内容扣 3 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供应商对本项目的合理化建议，从积极意义、可行性、合理性等方面响应。建议内容科学合理，针对性、可行性强，得 6 分；建议内容较合理，有一定针对性和可行性，得 4 分；建议内容简单笼统，无针对性，得 2 分；无或其它不得分。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提供2022年11月至今类似项目业绩，以合同为准，复印件加盖单位公章，每份计2分，计满6分为止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 备注：当磋商小组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供应商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