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版本号：ZCSP-白水县-2025-00273-0178720251130003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白水县2025年村道安全生命防护工程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ZCSP-白水县-2025-00273-01787</w:t>
      </w:r>
      <w:r>
        <w:br/>
      </w:r>
      <w:r>
        <w:br/>
      </w:r>
      <w:r>
        <w:br/>
      </w:r>
    </w:p>
    <w:p>
      <w:pPr>
        <w:pStyle w:val="null3"/>
        <w:jc w:val="center"/>
        <w:outlineLvl w:val="2"/>
      </w:pPr>
      <w:r>
        <w:rPr>
          <w:rFonts w:ascii="仿宋_GB2312" w:hAnsi="仿宋_GB2312" w:cs="仿宋_GB2312" w:eastAsia="仿宋_GB2312"/>
          <w:sz w:val="28"/>
          <w:b/>
        </w:rPr>
        <w:t>白水县农村公路服务中心</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白水县农村公路服务中心</w:t>
      </w:r>
      <w:r>
        <w:rPr>
          <w:rFonts w:ascii="仿宋_GB2312" w:hAnsi="仿宋_GB2312" w:cs="仿宋_GB2312" w:eastAsia="仿宋_GB2312"/>
        </w:rPr>
        <w:t>委托，拟对</w:t>
      </w:r>
      <w:r>
        <w:rPr>
          <w:rFonts w:ascii="仿宋_GB2312" w:hAnsi="仿宋_GB2312" w:cs="仿宋_GB2312" w:eastAsia="仿宋_GB2312"/>
        </w:rPr>
        <w:t>白水县2025年村道安全生命防护工程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ZCSP-白水县-2025-00273-01787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白水县2025年村道安全生命防护工程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（一）建设地点：林皋镇、史官镇、尧禾镇、北塬镇、雷牙镇。 （二）采购范围：本项目位于白水县境内,涉及白水县5个镇11条农村公路(村道)的安全生命防护工程,里程共计27.873公里,其中隐患里程15.118公里。主要实施内容为增设波形梁护栏，保障道路通行安全。（三）工期：自合同签订之日起20日历天内完成全部工程施工并达到验收条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采购包1（白水县2025年村道安全生命防护工程）：属于专门面向中小企业采购。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代表身份：法定代表人参加磋商的，须提供本人身份证复印件（附在资格证明文件中）；法定代表人授权他人参加磋商的，须提供法定代表人授权委托书、授权代表身份证、授权代表本单位证明（在供应商单位近3个月内任意一个月缴纳的养老保险证明）。竞争性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2、营业执照：提供有效存续的企业营业执照（含最新年度报告）；</w:t>
      </w:r>
    </w:p>
    <w:p>
      <w:pPr>
        <w:pStyle w:val="null3"/>
      </w:pPr>
      <w:r>
        <w:rPr>
          <w:rFonts w:ascii="仿宋_GB2312" w:hAnsi="仿宋_GB2312" w:cs="仿宋_GB2312" w:eastAsia="仿宋_GB2312"/>
        </w:rPr>
        <w:t>3、资质证书：供应商具备有效的公路工程施工总承包三级及以上或公路交通工程（公路安全设施）专业承包二级及以上资质；</w:t>
      </w:r>
    </w:p>
    <w:p>
      <w:pPr>
        <w:pStyle w:val="null3"/>
      </w:pPr>
      <w:r>
        <w:rPr>
          <w:rFonts w:ascii="仿宋_GB2312" w:hAnsi="仿宋_GB2312" w:cs="仿宋_GB2312" w:eastAsia="仿宋_GB2312"/>
        </w:rPr>
        <w:t>4、安全生产许可证：供应商具备有效的安全生产许可证；</w:t>
      </w:r>
    </w:p>
    <w:p>
      <w:pPr>
        <w:pStyle w:val="null3"/>
      </w:pPr>
      <w:r>
        <w:rPr>
          <w:rFonts w:ascii="仿宋_GB2312" w:hAnsi="仿宋_GB2312" w:cs="仿宋_GB2312" w:eastAsia="仿宋_GB2312"/>
        </w:rPr>
        <w:t>5、项目经理：供应商拟派项目经理具备公路工程专业二级及以上注册建造师证，且注册单位须与投标人名称相同，并持有交通主管部门颁发的《安全生产考核合格证书》（交安B），无在岗项目，无不良记录；</w:t>
      </w:r>
    </w:p>
    <w:p>
      <w:pPr>
        <w:pStyle w:val="null3"/>
      </w:pPr>
      <w:r>
        <w:rPr>
          <w:rFonts w:ascii="仿宋_GB2312" w:hAnsi="仿宋_GB2312" w:cs="仿宋_GB2312" w:eastAsia="仿宋_GB2312"/>
        </w:rPr>
        <w:t>6、项目总工：供应商拟派项目总工具备公路或道路相关专业工程师及以上职称，并持有交通主管部门颁发的《安全生产考核合格证书》（交安B），无在岗项目，无不良记录；</w:t>
      </w:r>
    </w:p>
    <w:p>
      <w:pPr>
        <w:pStyle w:val="null3"/>
      </w:pPr>
      <w:r>
        <w:rPr>
          <w:rFonts w:ascii="仿宋_GB2312" w:hAnsi="仿宋_GB2312" w:cs="仿宋_GB2312" w:eastAsia="仿宋_GB2312"/>
        </w:rPr>
        <w:t>7、财务状况报告：提供2024年度经审计的财务报告（包括“四表一注”，即资产负债表、利润表、现金流量表、所有者权益变动表及其附注，成立时间至提交响应文件截止时间不足一年的可提供成立后任意时段的资产负债表），或其响应文件递交截止之日前三个月内基本开户银行出具的资信证明，或信用担保机构出具的磋商担保函，以上三种形式的资料提供任何一种即可；</w:t>
      </w:r>
    </w:p>
    <w:p>
      <w:pPr>
        <w:pStyle w:val="null3"/>
      </w:pPr>
      <w:r>
        <w:rPr>
          <w:rFonts w:ascii="仿宋_GB2312" w:hAnsi="仿宋_GB2312" w:cs="仿宋_GB2312" w:eastAsia="仿宋_GB2312"/>
        </w:rPr>
        <w:t>8、社保缴纳证明：提供2025年5月1日至响应文件递交截止之日任意一个月的社会保障资金缴存单据或社保机构开具的社会保险参保缴费情况证明。依法不需要缴纳社会保障资金的供应商应提供相关证明文件；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9、税收缴纳证明：提供2025年5月1日至响应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10、信用记录：提供《供应商信用记录书面声明函》（按格式填写，提供原件）。经查，供应商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11、控股管理关系：提供直接控股和管理关系清单。若与其他供应商存在单位负责人为同一人或者存在直接控股、管理关系的，则磋商无效；</w:t>
      </w:r>
    </w:p>
    <w:p>
      <w:pPr>
        <w:pStyle w:val="null3"/>
      </w:pPr>
      <w:r>
        <w:rPr>
          <w:rFonts w:ascii="仿宋_GB2312" w:hAnsi="仿宋_GB2312" w:cs="仿宋_GB2312" w:eastAsia="仿宋_GB2312"/>
        </w:rPr>
        <w:t>12、书面声明：提供书面声明，包括声明具有履行合同所必需的设备和专业技术能力；未为本项目提供整体设计、规范编制或者项目管理、监理、检测等服务；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13、本合同包不接受联合体磋商、不允许分包：供应商提供《非联合体磋商不分包声明》，视为独立响应、不分包。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白水县农村公路服务中心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白水县水门路026号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屈继鹏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0913-6122616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西安市雁塔区曲江新区雁翔路3269号旺座曲江E座29层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13098123638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白水县政府采购管理股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0913-8483373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采购包1：2,623,474.00元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人与采购代理机构约定，根据“财库[2018]2号-财政部关于印发《政府采购代理机构管理暂行办法》的通知”第十五条规定，双方约定代理服务费由成交供应商支付，领取成交通知书时一次性付清代理服务费，费用包括：（1）招标代理费：参照国家计委关于《招标代理服务收费管理暂行办法》（计价格〔2002〕1980号）、《国家发展改革委关于降低部分建设项目收费标准规范收费行为等有关问题的通知》（发改价格〔2011〕534号），以成交价为基数，按标准的100%收取。（2）工程量清单及最高限价编制费：参照陕西省物价局陕西省住房和城乡建设厅《关于我省工程造价咨询服务收费标准有关问题的通知》（陕价行发〔2014〕88号），以最高限价为基数，按标准的100%收取。户 名：华睿诚项目管理有限公司临渭分公司；开户银行：中国建设银行股份有限公司渭南朝阳大街支行；账号：61050164500800000761。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白水县农村公路服务中心</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白水县农村公路服务中心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白水县农村公路服务中心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1.全面达到国家及行业合格标准。 2.验收不合格的，承包人应在15个工作日内提交整改方案并完成整改，费用与工期延误由承包人承担。多次整改仍不合格的，采购人有权按合同约定扣除违约金或解除合同。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联系人：党珍</w:t>
      </w:r>
    </w:p>
    <w:p>
      <w:pPr>
        <w:pStyle w:val="null3"/>
      </w:pPr>
      <w:r>
        <w:rPr>
          <w:rFonts w:ascii="仿宋_GB2312" w:hAnsi="仿宋_GB2312" w:cs="仿宋_GB2312" w:eastAsia="仿宋_GB2312"/>
        </w:rPr>
        <w:t>联系电话：13098123638</w:t>
      </w:r>
    </w:p>
    <w:p>
      <w:pPr>
        <w:pStyle w:val="null3"/>
      </w:pPr>
      <w:r>
        <w:rPr>
          <w:rFonts w:ascii="仿宋_GB2312" w:hAnsi="仿宋_GB2312" w:cs="仿宋_GB2312" w:eastAsia="仿宋_GB2312"/>
        </w:rPr>
        <w:t>地址：西安市曲江新区雁翔路3269号旺座曲江E座29层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2,623,474.00</w:t>
      </w:r>
    </w:p>
    <w:p>
      <w:pPr>
        <w:pStyle w:val="null3"/>
      </w:pPr>
      <w:r>
        <w:rPr>
          <w:rFonts w:ascii="仿宋_GB2312" w:hAnsi="仿宋_GB2312" w:cs="仿宋_GB2312" w:eastAsia="仿宋_GB2312"/>
        </w:rPr>
        <w:t>采购包最高限价（元）: 2,623,474.00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 白水县2025年村道安全生命防护工程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2,623,474.00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 白水县2025年村道安全生命防护工程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一、采购范围及内容</w:t>
            </w:r>
          </w:p>
          <w:p>
            <w:pPr>
              <w:pStyle w:val="null3"/>
            </w:pPr>
            <w:r>
              <w:rPr>
                <w:rFonts w:ascii="仿宋_GB2312" w:hAnsi="仿宋_GB2312" w:cs="仿宋_GB2312" w:eastAsia="仿宋_GB2312"/>
              </w:rPr>
              <w:t>本项目位于白水县境内,涉及白水县5个镇11条农村公路(村道)的安全生命防护工程,里程共计27.873公里,其中隐患里程15.118公里。主要实施内容为增设波形梁护栏，保障道路通行安全。具体施工内容详见工程量清单和图纸。</w:t>
            </w:r>
          </w:p>
          <w:p>
            <w:pPr>
              <w:pStyle w:val="null3"/>
            </w:pPr>
            <w:r>
              <w:rPr>
                <w:rFonts w:ascii="仿宋_GB2312" w:hAnsi="仿宋_GB2312" w:cs="仿宋_GB2312" w:eastAsia="仿宋_GB2312"/>
              </w:rPr>
              <w:t>二、工期</w:t>
            </w:r>
          </w:p>
          <w:p>
            <w:pPr>
              <w:pStyle w:val="null3"/>
            </w:pPr>
            <w:r>
              <w:rPr>
                <w:rFonts w:ascii="仿宋_GB2312" w:hAnsi="仿宋_GB2312" w:cs="仿宋_GB2312" w:eastAsia="仿宋_GB2312"/>
              </w:rPr>
              <w:t>自合同签订之日起20日历天内完成全部工程施工并达到验收条件。</w:t>
            </w:r>
          </w:p>
          <w:p>
            <w:pPr>
              <w:pStyle w:val="null3"/>
            </w:pPr>
            <w:r>
              <w:rPr>
                <w:rFonts w:ascii="仿宋_GB2312" w:hAnsi="仿宋_GB2312" w:cs="仿宋_GB2312" w:eastAsia="仿宋_GB2312"/>
              </w:rPr>
              <w:t>三、付款方式</w:t>
            </w:r>
          </w:p>
          <w:p>
            <w:pPr>
              <w:pStyle w:val="null3"/>
            </w:pPr>
            <w:r>
              <w:rPr>
                <w:rFonts w:ascii="仿宋_GB2312" w:hAnsi="仿宋_GB2312" w:cs="仿宋_GB2312" w:eastAsia="仿宋_GB2312"/>
              </w:rPr>
              <w:t>1.开工前，采购人向成交供应商支付合同总价40%的工程预付款。</w:t>
            </w:r>
          </w:p>
          <w:p>
            <w:pPr>
              <w:pStyle w:val="null3"/>
            </w:pPr>
            <w:r>
              <w:rPr>
                <w:rFonts w:ascii="仿宋_GB2312" w:hAnsi="仿宋_GB2312" w:cs="仿宋_GB2312" w:eastAsia="仿宋_GB2312"/>
              </w:rPr>
              <w:t>2.工程竣工验收合格，出具验收证书，结算审定及双方无异议后，采购人支付合同总价的60%。</w:t>
            </w:r>
          </w:p>
          <w:p>
            <w:pPr>
              <w:pStyle w:val="null3"/>
            </w:pPr>
            <w:r>
              <w:rPr>
                <w:rFonts w:ascii="仿宋_GB2312" w:hAnsi="仿宋_GB2312" w:cs="仿宋_GB2312" w:eastAsia="仿宋_GB2312"/>
              </w:rPr>
              <w:t>四、承包方式</w:t>
            </w:r>
          </w:p>
          <w:p>
            <w:pPr>
              <w:pStyle w:val="null3"/>
            </w:pPr>
            <w:r>
              <w:rPr>
                <w:rFonts w:ascii="仿宋_GB2312" w:hAnsi="仿宋_GB2312" w:cs="仿宋_GB2312" w:eastAsia="仿宋_GB2312"/>
              </w:rPr>
              <w:t>施工总承包</w:t>
            </w:r>
          </w:p>
          <w:p>
            <w:pPr>
              <w:pStyle w:val="null3"/>
            </w:pPr>
            <w:r>
              <w:rPr>
                <w:rFonts w:ascii="仿宋_GB2312" w:hAnsi="仿宋_GB2312" w:cs="仿宋_GB2312" w:eastAsia="仿宋_GB2312"/>
              </w:rPr>
              <w:t>五、质量标准</w:t>
            </w:r>
          </w:p>
          <w:p>
            <w:pPr>
              <w:pStyle w:val="null3"/>
            </w:pPr>
            <w:r>
              <w:rPr>
                <w:rFonts w:ascii="仿宋_GB2312" w:hAnsi="仿宋_GB2312" w:cs="仿宋_GB2312" w:eastAsia="仿宋_GB2312"/>
              </w:rPr>
              <w:t>工程质量须符合国家、行业及地方现行相关标准与规范要求，确保达到合格标准，并满足采购文件及合同约定。</w:t>
            </w:r>
          </w:p>
          <w:p>
            <w:pPr>
              <w:pStyle w:val="null3"/>
            </w:pPr>
            <w:r>
              <w:rPr>
                <w:rFonts w:ascii="仿宋_GB2312" w:hAnsi="仿宋_GB2312" w:cs="仿宋_GB2312" w:eastAsia="仿宋_GB2312"/>
              </w:rPr>
              <w:t>六、工程建设标准</w:t>
            </w:r>
          </w:p>
          <w:p>
            <w:pPr>
              <w:pStyle w:val="null3"/>
            </w:pPr>
            <w:r>
              <w:rPr>
                <w:rFonts w:ascii="仿宋_GB2312" w:hAnsi="仿宋_GB2312" w:cs="仿宋_GB2312" w:eastAsia="仿宋_GB2312"/>
              </w:rPr>
              <w:t>1.本工程所有设计、施工及验收均须符合国家、省、市现行相关规范、规程和标准。</w:t>
            </w:r>
          </w:p>
          <w:p>
            <w:pPr>
              <w:pStyle w:val="null3"/>
            </w:pPr>
            <w:r>
              <w:rPr>
                <w:rFonts w:ascii="仿宋_GB2312" w:hAnsi="仿宋_GB2312" w:cs="仿宋_GB2312" w:eastAsia="仿宋_GB2312"/>
              </w:rPr>
              <w:t>2.工程质量验收应严格执行《公路交通安全设施设计规范》（JTG D81）《公路交通安全设施施工技术规范》（JTG/T F71）《农村公路建设标准》等现行有效的行业规范、设计文件（施工图等）、采购文件及合同约定的质量标准。</w:t>
            </w:r>
          </w:p>
          <w:p>
            <w:pPr>
              <w:pStyle w:val="null3"/>
            </w:pPr>
            <w:r>
              <w:rPr>
                <w:rFonts w:ascii="仿宋_GB2312" w:hAnsi="仿宋_GB2312" w:cs="仿宋_GB2312" w:eastAsia="仿宋_GB2312"/>
              </w:rPr>
              <w:t>3.成交供应商须在工程竣工时提交完整、签章齐全的竣工资料。</w:t>
            </w:r>
          </w:p>
          <w:p>
            <w:pPr>
              <w:pStyle w:val="null3"/>
            </w:pPr>
            <w:r>
              <w:rPr>
                <w:rFonts w:ascii="仿宋_GB2312" w:hAnsi="仿宋_GB2312" w:cs="仿宋_GB2312" w:eastAsia="仿宋_GB2312"/>
              </w:rPr>
              <w:t>4.工程验收程序应符合国家及地方相关工程管理规定。</w:t>
            </w:r>
          </w:p>
          <w:p>
            <w:pPr>
              <w:pStyle w:val="null3"/>
            </w:pPr>
            <w:r>
              <w:rPr>
                <w:rFonts w:ascii="仿宋_GB2312" w:hAnsi="仿宋_GB2312" w:cs="仿宋_GB2312" w:eastAsia="仿宋_GB2312"/>
              </w:rPr>
              <w:t>七、工程量清单</w:t>
            </w:r>
          </w:p>
          <w:p>
            <w:pPr>
              <w:pStyle w:val="null3"/>
            </w:pPr>
            <w:r>
              <w:rPr>
                <w:rFonts w:ascii="仿宋_GB2312" w:hAnsi="仿宋_GB2312" w:cs="仿宋_GB2312" w:eastAsia="仿宋_GB2312"/>
              </w:rPr>
              <w:t>1.工程量清单说明</w:t>
            </w:r>
          </w:p>
          <w:p>
            <w:pPr>
              <w:pStyle w:val="null3"/>
            </w:pPr>
            <w:r>
              <w:rPr>
                <w:rFonts w:ascii="仿宋_GB2312" w:hAnsi="仿宋_GB2312" w:cs="仿宋_GB2312" w:eastAsia="仿宋_GB2312"/>
              </w:rPr>
              <w:t>1.1本工程量清单是根据竞争性磋商文件中包括的、有合同约束力的图纸以及有关工程量清单的国家标准、行业标准、合同条款中约定的工程量计算规则编制。约定计量规则中没有的子目，其工程量按照有合同约束力的图纸所标示尺寸的理论净量计算。计量采用中华人民共和国法定计量单位。</w:t>
            </w:r>
          </w:p>
          <w:p>
            <w:pPr>
              <w:pStyle w:val="null3"/>
            </w:pPr>
            <w:r>
              <w:rPr>
                <w:rFonts w:ascii="仿宋_GB2312" w:hAnsi="仿宋_GB2312" w:cs="仿宋_GB2312" w:eastAsia="仿宋_GB2312"/>
              </w:rPr>
              <w:t>1.2本工程量清单应与竞争性磋商文件中的供应商须知、通用合同条款、专用合同条款、技术规范及图纸等一起阅读和理解。</w:t>
            </w:r>
          </w:p>
          <w:p>
            <w:pPr>
              <w:pStyle w:val="null3"/>
            </w:pPr>
            <w:r>
              <w:rPr>
                <w:rFonts w:ascii="仿宋_GB2312" w:hAnsi="仿宋_GB2312" w:cs="仿宋_GB2312" w:eastAsia="仿宋_GB2312"/>
              </w:rPr>
              <w:t>1.3本工程量清单中所列工程数量是估算的或设计的预计数量，仅作为响应报价的共同基础，不能作为最终结算与支付的依据。实际支付应按实际完成的工程量，由承包人按技术规范规定的计量方法，以监理人认可的尺寸、断面计量，按本工程量清单的单价和总额价计算支付金额；或者，根据具体情况，按合同条款的规定，由监理人确定的单价或总额价计算支付额。</w:t>
            </w:r>
          </w:p>
          <w:p>
            <w:pPr>
              <w:pStyle w:val="null3"/>
            </w:pPr>
            <w:r>
              <w:rPr>
                <w:rFonts w:ascii="仿宋_GB2312" w:hAnsi="仿宋_GB2312" w:cs="仿宋_GB2312" w:eastAsia="仿宋_GB2312"/>
              </w:rPr>
              <w:t>1.4工程量清单各章是按中华人民共和国交通运输部《公路工程标准施工招标文件（2018）版》第七章“技术规范”的相应章次编号的，因此，工程量清单中各章的工程子目的范围与计量等应与“技术规范”相应章节的范围、计量与支付条款结合起来理解或解释。</w:t>
            </w:r>
          </w:p>
          <w:p>
            <w:pPr>
              <w:pStyle w:val="null3"/>
            </w:pPr>
            <w:r>
              <w:rPr>
                <w:rFonts w:ascii="仿宋_GB2312" w:hAnsi="仿宋_GB2312" w:cs="仿宋_GB2312" w:eastAsia="仿宋_GB2312"/>
              </w:rPr>
              <w:t>1.5对作业和材料的一般说明或规定，未重复写入工程量清单内，在给工程量清单各子目标价前，应参阅中华人民共和国交通运输部《公路工程标准施工招标文件（2018）版》第七章“技术规范”的有关内容。</w:t>
            </w:r>
          </w:p>
          <w:p>
            <w:pPr>
              <w:pStyle w:val="null3"/>
            </w:pPr>
            <w:r>
              <w:rPr>
                <w:rFonts w:ascii="仿宋_GB2312" w:hAnsi="仿宋_GB2312" w:cs="仿宋_GB2312" w:eastAsia="仿宋_GB2312"/>
              </w:rPr>
              <w:t>1.6工程量清单中所列工程量的变动，丝毫不会降低或影响合同条款的效力，也不免除承包人按规定的标准进行施工和修复缺陷的责任。</w:t>
            </w:r>
          </w:p>
          <w:p>
            <w:pPr>
              <w:pStyle w:val="null3"/>
            </w:pPr>
            <w:r>
              <w:rPr>
                <w:rFonts w:ascii="仿宋_GB2312" w:hAnsi="仿宋_GB2312" w:cs="仿宋_GB2312" w:eastAsia="仿宋_GB2312"/>
              </w:rPr>
              <w:t>1.7图纸中所列的工程数量表及数量汇总表仅是提供资料，不是工程量清单的外延。当图纸与工程量清单所列数量不一致时，以工程量清单所列数量作为报价的依据。</w:t>
            </w:r>
          </w:p>
          <w:p>
            <w:pPr>
              <w:pStyle w:val="null3"/>
            </w:pPr>
            <w:r>
              <w:rPr>
                <w:rFonts w:ascii="仿宋_GB2312" w:hAnsi="仿宋_GB2312" w:cs="仿宋_GB2312" w:eastAsia="仿宋_GB2312"/>
              </w:rPr>
              <w:t>2.响应报价说明</w:t>
            </w:r>
          </w:p>
          <w:p>
            <w:pPr>
              <w:pStyle w:val="null3"/>
            </w:pPr>
            <w:r>
              <w:rPr>
                <w:rFonts w:ascii="仿宋_GB2312" w:hAnsi="仿宋_GB2312" w:cs="仿宋_GB2312" w:eastAsia="仿宋_GB2312"/>
              </w:rPr>
              <w:t>2.1工程量清单中的每一子目须填入单价或价格，且只允许有一个报价。</w:t>
            </w:r>
          </w:p>
          <w:p>
            <w:pPr>
              <w:pStyle w:val="null3"/>
            </w:pPr>
            <w:r>
              <w:rPr>
                <w:rFonts w:ascii="仿宋_GB2312" w:hAnsi="仿宋_GB2312" w:cs="仿宋_GB2312" w:eastAsia="仿宋_GB2312"/>
              </w:rPr>
              <w:t>2.2除非合同另有规定，工程量清单中有标价的单价和总额价均已包括了为实施和完成合同工程所需的劳务、材料、机械、质检（自检）、安装、缺陷修复、管理、保险、税费、利润等费用，以及合同明示或暗示的所有责任、义务和一般风险。</w:t>
            </w:r>
          </w:p>
          <w:p>
            <w:pPr>
              <w:pStyle w:val="null3"/>
            </w:pPr>
            <w:r>
              <w:rPr>
                <w:rFonts w:ascii="仿宋_GB2312" w:hAnsi="仿宋_GB2312" w:cs="仿宋_GB2312" w:eastAsia="仿宋_GB2312"/>
              </w:rPr>
              <w:t>2.3工程量清单中供应商没有填入单价或价格的子目，其费用视为已分摊在工程量清单中其他相关子目的单价或价格之中。承包人必须按监理人指令完成工程量清单中未填入单价或价格的子目，但不能得到结算与支付。</w:t>
            </w:r>
          </w:p>
          <w:p>
            <w:pPr>
              <w:pStyle w:val="null3"/>
            </w:pPr>
            <w:r>
              <w:rPr>
                <w:rFonts w:ascii="仿宋_GB2312" w:hAnsi="仿宋_GB2312" w:cs="仿宋_GB2312" w:eastAsia="仿宋_GB2312"/>
              </w:rPr>
              <w:t>2.4符合合同条款规定的全部费用应认为已被计入有标价的工程量清单所列各子目中，未列子目不予计量的工作，其费用应视为已分摊在本合同工程的有关子目的单价或总额价之中。</w:t>
            </w:r>
          </w:p>
          <w:p>
            <w:pPr>
              <w:pStyle w:val="null3"/>
            </w:pPr>
            <w:r>
              <w:rPr>
                <w:rFonts w:ascii="仿宋_GB2312" w:hAnsi="仿宋_GB2312" w:cs="仿宋_GB2312" w:eastAsia="仿宋_GB2312"/>
              </w:rPr>
              <w:t>2.5承包人用于本合同工程的各类装备的提供、运输、维护、拆卸、拼装等支付的费用，已包括在工程量清单的单价与总额价之中。</w:t>
            </w:r>
          </w:p>
          <w:p>
            <w:pPr>
              <w:pStyle w:val="null3"/>
            </w:pPr>
            <w:r>
              <w:rPr>
                <w:rFonts w:ascii="仿宋_GB2312" w:hAnsi="仿宋_GB2312" w:cs="仿宋_GB2312" w:eastAsia="仿宋_GB2312"/>
              </w:rPr>
              <w:t>2.6工程量清单中各项金额均以人民币（元）结算。</w:t>
            </w:r>
          </w:p>
          <w:p>
            <w:pPr>
              <w:pStyle w:val="null3"/>
            </w:pPr>
            <w:r>
              <w:rPr>
                <w:rFonts w:ascii="仿宋_GB2312" w:hAnsi="仿宋_GB2312" w:cs="仿宋_GB2312" w:eastAsia="仿宋_GB2312"/>
              </w:rPr>
              <w:t>3.计日工说明</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4.其他说明</w:t>
            </w:r>
          </w:p>
          <w:p>
            <w:pPr>
              <w:pStyle w:val="null3"/>
            </w:pPr>
            <w:r>
              <w:rPr>
                <w:rFonts w:ascii="仿宋_GB2312" w:hAnsi="仿宋_GB2312" w:cs="仿宋_GB2312" w:eastAsia="仿宋_GB2312"/>
              </w:rPr>
              <w:t>4.1安全生产费使用范围</w:t>
            </w:r>
          </w:p>
          <w:p>
            <w:pPr>
              <w:pStyle w:val="null3"/>
            </w:pPr>
            <w:r>
              <w:rPr>
                <w:rFonts w:ascii="仿宋_GB2312" w:hAnsi="仿宋_GB2312" w:cs="仿宋_GB2312" w:eastAsia="仿宋_GB2312"/>
              </w:rPr>
              <w:t>（一）完善、改造和维护安全防护、检测、探测设备、设施支出。</w:t>
            </w:r>
          </w:p>
          <w:p>
            <w:pPr>
              <w:pStyle w:val="null3"/>
            </w:pPr>
            <w:r>
              <w:rPr>
                <w:rFonts w:ascii="仿宋_GB2312" w:hAnsi="仿宋_GB2312" w:cs="仿宋_GB2312" w:eastAsia="仿宋_GB2312"/>
              </w:rPr>
              <w:t>1.各类机电设备安全装置；</w:t>
            </w:r>
          </w:p>
          <w:p>
            <w:pPr>
              <w:pStyle w:val="null3"/>
            </w:pPr>
            <w:r>
              <w:rPr>
                <w:rFonts w:ascii="仿宋_GB2312" w:hAnsi="仿宋_GB2312" w:cs="仿宋_GB2312" w:eastAsia="仿宋_GB2312"/>
              </w:rPr>
              <w:t>2.地质监控设施；</w:t>
            </w:r>
          </w:p>
          <w:p>
            <w:pPr>
              <w:pStyle w:val="null3"/>
            </w:pPr>
            <w:r>
              <w:rPr>
                <w:rFonts w:ascii="仿宋_GB2312" w:hAnsi="仿宋_GB2312" w:cs="仿宋_GB2312" w:eastAsia="仿宋_GB2312"/>
              </w:rPr>
              <w:t>3.防风、防腐、防火、防尘、防水、防辐射、防雷电、防危险气体等设备设施及备品；</w:t>
            </w:r>
          </w:p>
          <w:p>
            <w:pPr>
              <w:pStyle w:val="null3"/>
            </w:pPr>
            <w:r>
              <w:rPr>
                <w:rFonts w:ascii="仿宋_GB2312" w:hAnsi="仿宋_GB2312" w:cs="仿宋_GB2312" w:eastAsia="仿宋_GB2312"/>
              </w:rPr>
              <w:t>4.起重机械、提升设备上的各种保护及保险装置；</w:t>
            </w:r>
          </w:p>
          <w:p>
            <w:pPr>
              <w:pStyle w:val="null3"/>
            </w:pPr>
            <w:r>
              <w:rPr>
                <w:rFonts w:ascii="仿宋_GB2312" w:hAnsi="仿宋_GB2312" w:cs="仿宋_GB2312" w:eastAsia="仿宋_GB2312"/>
              </w:rPr>
              <w:t>5.作业中防止物体、人员坠落设置的安全网、棚、护栏等；</w:t>
            </w:r>
          </w:p>
          <w:p>
            <w:pPr>
              <w:pStyle w:val="null3"/>
            </w:pPr>
            <w:r>
              <w:rPr>
                <w:rFonts w:ascii="仿宋_GB2312" w:hAnsi="仿宋_GB2312" w:cs="仿宋_GB2312" w:eastAsia="仿宋_GB2312"/>
              </w:rPr>
              <w:t>6.穿越村镇、公路、河流、地下管线进行施工、运输作业所增设的防护、隔离、栏挡等设施；</w:t>
            </w:r>
          </w:p>
          <w:p>
            <w:pPr>
              <w:pStyle w:val="null3"/>
            </w:pPr>
            <w:r>
              <w:rPr>
                <w:rFonts w:ascii="仿宋_GB2312" w:hAnsi="仿宋_GB2312" w:cs="仿宋_GB2312" w:eastAsia="仿宋_GB2312"/>
              </w:rPr>
              <w:t>7.各种安全警示、警告标志；</w:t>
            </w:r>
          </w:p>
          <w:p>
            <w:pPr>
              <w:pStyle w:val="null3"/>
            </w:pPr>
            <w:r>
              <w:rPr>
                <w:rFonts w:ascii="仿宋_GB2312" w:hAnsi="仿宋_GB2312" w:cs="仿宋_GB2312" w:eastAsia="仿宋_GB2312"/>
              </w:rPr>
              <w:t>8.安全防护通讯设备；</w:t>
            </w:r>
          </w:p>
          <w:p>
            <w:pPr>
              <w:pStyle w:val="null3"/>
            </w:pPr>
            <w:r>
              <w:rPr>
                <w:rFonts w:ascii="仿宋_GB2312" w:hAnsi="仿宋_GB2312" w:cs="仿宋_GB2312" w:eastAsia="仿宋_GB2312"/>
              </w:rPr>
              <w:t>9.其他安全防护设备、设施。</w:t>
            </w:r>
          </w:p>
          <w:p>
            <w:pPr>
              <w:pStyle w:val="null3"/>
            </w:pPr>
            <w:r>
              <w:rPr>
                <w:rFonts w:ascii="仿宋_GB2312" w:hAnsi="仿宋_GB2312" w:cs="仿宋_GB2312" w:eastAsia="仿宋_GB2312"/>
              </w:rPr>
              <w:t>（二）配备必要的应急救援器材、设备和现场作业人员安全防护物品支出。</w:t>
            </w:r>
          </w:p>
          <w:p>
            <w:pPr>
              <w:pStyle w:val="null3"/>
            </w:pPr>
            <w:r>
              <w:rPr>
                <w:rFonts w:ascii="仿宋_GB2312" w:hAnsi="仿宋_GB2312" w:cs="仿宋_GB2312" w:eastAsia="仿宋_GB2312"/>
              </w:rPr>
              <w:t>1.各种消防设备及器材，救生衣、圈，急救药箱及器材费用；</w:t>
            </w:r>
          </w:p>
          <w:p>
            <w:pPr>
              <w:pStyle w:val="null3"/>
            </w:pPr>
            <w:r>
              <w:rPr>
                <w:rFonts w:ascii="仿宋_GB2312" w:hAnsi="仿宋_GB2312" w:cs="仿宋_GB2312" w:eastAsia="仿宋_GB2312"/>
              </w:rPr>
              <w:t>2.安全帽、保险带、手套、雨鞋、口罩等现场作业人员安全防护用品费用；</w:t>
            </w:r>
          </w:p>
          <w:p>
            <w:pPr>
              <w:pStyle w:val="null3"/>
            </w:pPr>
            <w:r>
              <w:rPr>
                <w:rFonts w:ascii="仿宋_GB2312" w:hAnsi="仿宋_GB2312" w:cs="仿宋_GB2312" w:eastAsia="仿宋_GB2312"/>
              </w:rPr>
              <w:t>3.其他专门为应急救援所需而准备的物资、专用设备、工具的费用。</w:t>
            </w:r>
          </w:p>
          <w:p>
            <w:pPr>
              <w:pStyle w:val="null3"/>
            </w:pPr>
            <w:r>
              <w:rPr>
                <w:rFonts w:ascii="仿宋_GB2312" w:hAnsi="仿宋_GB2312" w:cs="仿宋_GB2312" w:eastAsia="仿宋_GB2312"/>
              </w:rPr>
              <w:t>（三）安全生产检查与评价支出。</w:t>
            </w:r>
          </w:p>
          <w:p>
            <w:pPr>
              <w:pStyle w:val="null3"/>
            </w:pPr>
            <w:r>
              <w:rPr>
                <w:rFonts w:ascii="仿宋_GB2312" w:hAnsi="仿宋_GB2312" w:cs="仿宋_GB2312" w:eastAsia="仿宋_GB2312"/>
              </w:rPr>
              <w:t>1.日常安全生产检查、评估费用；</w:t>
            </w:r>
          </w:p>
          <w:p>
            <w:pPr>
              <w:pStyle w:val="null3"/>
            </w:pPr>
            <w:r>
              <w:rPr>
                <w:rFonts w:ascii="仿宋_GB2312" w:hAnsi="仿宋_GB2312" w:cs="仿宋_GB2312" w:eastAsia="仿宋_GB2312"/>
              </w:rPr>
              <w:t>2.聘请专家参与安全检查和评价费用。</w:t>
            </w:r>
          </w:p>
          <w:p>
            <w:pPr>
              <w:pStyle w:val="null3"/>
            </w:pPr>
            <w:r>
              <w:rPr>
                <w:rFonts w:ascii="仿宋_GB2312" w:hAnsi="仿宋_GB2312" w:cs="仿宋_GB2312" w:eastAsia="仿宋_GB2312"/>
              </w:rPr>
              <w:t>（四）重大危险源、重大事故隐患的评估、整改、监控支出。</w:t>
            </w:r>
          </w:p>
          <w:p>
            <w:pPr>
              <w:pStyle w:val="null3"/>
            </w:pPr>
            <w:r>
              <w:rPr>
                <w:rFonts w:ascii="仿宋_GB2312" w:hAnsi="仿宋_GB2312" w:cs="仿宋_GB2312" w:eastAsia="仿宋_GB2312"/>
              </w:rPr>
              <w:t>1.对重大危险源、重大事故隐患进行辨识、评估、监控、监管费用；</w:t>
            </w:r>
          </w:p>
          <w:p>
            <w:pPr>
              <w:pStyle w:val="null3"/>
            </w:pPr>
            <w:r>
              <w:rPr>
                <w:rFonts w:ascii="仿宋_GB2312" w:hAnsi="仿宋_GB2312" w:cs="仿宋_GB2312" w:eastAsia="仿宋_GB2312"/>
              </w:rPr>
              <w:t>2.爆破物、放射性物品的储存、使用、防护费用；</w:t>
            </w:r>
          </w:p>
          <w:p>
            <w:pPr>
              <w:pStyle w:val="null3"/>
            </w:pPr>
            <w:r>
              <w:rPr>
                <w:rFonts w:ascii="仿宋_GB2312" w:hAnsi="仿宋_GB2312" w:cs="仿宋_GB2312" w:eastAsia="仿宋_GB2312"/>
              </w:rPr>
              <w:t>3.对有重大危险因素的分部、分项工程安全专项施工方案进行论证、咨询的费用。</w:t>
            </w:r>
          </w:p>
          <w:p>
            <w:pPr>
              <w:pStyle w:val="null3"/>
            </w:pPr>
            <w:r>
              <w:rPr>
                <w:rFonts w:ascii="仿宋_GB2312" w:hAnsi="仿宋_GB2312" w:cs="仿宋_GB2312" w:eastAsia="仿宋_GB2312"/>
              </w:rPr>
              <w:t>（五）安全技能培训及进行应急救援演练支出。</w:t>
            </w:r>
          </w:p>
          <w:p>
            <w:pPr>
              <w:pStyle w:val="null3"/>
            </w:pPr>
            <w:r>
              <w:rPr>
                <w:rFonts w:ascii="仿宋_GB2312" w:hAnsi="仿宋_GB2312" w:cs="仿宋_GB2312" w:eastAsia="仿宋_GB2312"/>
              </w:rPr>
              <w:t>1.“三类人员”和特种作业人员的安全教育培训、复训费用；</w:t>
            </w:r>
          </w:p>
          <w:p>
            <w:pPr>
              <w:pStyle w:val="null3"/>
            </w:pPr>
            <w:r>
              <w:rPr>
                <w:rFonts w:ascii="仿宋_GB2312" w:hAnsi="仿宋_GB2312" w:cs="仿宋_GB2312" w:eastAsia="仿宋_GB2312"/>
              </w:rPr>
              <w:t>2.内部组织的安全技术、知识培训教育费用；</w:t>
            </w:r>
          </w:p>
          <w:p>
            <w:pPr>
              <w:pStyle w:val="null3"/>
            </w:pPr>
            <w:r>
              <w:rPr>
                <w:rFonts w:ascii="仿宋_GB2312" w:hAnsi="仿宋_GB2312" w:cs="仿宋_GB2312" w:eastAsia="仿宋_GB2312"/>
              </w:rPr>
              <w:t>3.组织应急预案演练费用。</w:t>
            </w:r>
          </w:p>
          <w:p>
            <w:pPr>
              <w:pStyle w:val="null3"/>
            </w:pPr>
            <w:r>
              <w:rPr>
                <w:rFonts w:ascii="仿宋_GB2312" w:hAnsi="仿宋_GB2312" w:cs="仿宋_GB2312" w:eastAsia="仿宋_GB2312"/>
              </w:rPr>
              <w:t>（六）其他与安全生产直接相关的支出。</w:t>
            </w:r>
          </w:p>
          <w:p>
            <w:pPr>
              <w:pStyle w:val="null3"/>
            </w:pPr>
            <w:r>
              <w:rPr>
                <w:rFonts w:ascii="仿宋_GB2312" w:hAnsi="仿宋_GB2312" w:cs="仿宋_GB2312" w:eastAsia="仿宋_GB2312"/>
              </w:rPr>
              <w:t>1.召开安全生产专题会议等相关活动费用；</w:t>
            </w:r>
          </w:p>
          <w:p>
            <w:pPr>
              <w:pStyle w:val="null3"/>
            </w:pPr>
            <w:r>
              <w:rPr>
                <w:rFonts w:ascii="仿宋_GB2312" w:hAnsi="仿宋_GB2312" w:cs="仿宋_GB2312" w:eastAsia="仿宋_GB2312"/>
              </w:rPr>
              <w:t>2.举办安全生产为主题的知识竞赛、技能比赛活动费用；</w:t>
            </w:r>
          </w:p>
          <w:p>
            <w:pPr>
              <w:pStyle w:val="null3"/>
            </w:pPr>
            <w:r>
              <w:rPr>
                <w:rFonts w:ascii="仿宋_GB2312" w:hAnsi="仿宋_GB2312" w:cs="仿宋_GB2312" w:eastAsia="仿宋_GB2312"/>
              </w:rPr>
              <w:t>3.安全经验交流、现场观摩费用；</w:t>
            </w:r>
          </w:p>
          <w:p>
            <w:pPr>
              <w:pStyle w:val="null3"/>
            </w:pPr>
            <w:r>
              <w:rPr>
                <w:rFonts w:ascii="仿宋_GB2312" w:hAnsi="仿宋_GB2312" w:cs="仿宋_GB2312" w:eastAsia="仿宋_GB2312"/>
              </w:rPr>
              <w:t>4.购置、编印安全生产书</w:t>
            </w:r>
          </w:p>
          <w:p>
            <w:pPr>
              <w:pStyle w:val="null3"/>
            </w:pPr>
            <w:r>
              <w:rPr>
                <w:rFonts w:ascii="仿宋_GB2312" w:hAnsi="仿宋_GB2312" w:cs="仿宋_GB2312" w:eastAsia="仿宋_GB2312"/>
              </w:rPr>
              <w:t>5.配备给专职安全人员使用的相机、电脑等物品费用；</w:t>
            </w:r>
          </w:p>
          <w:p>
            <w:pPr>
              <w:pStyle w:val="null3"/>
            </w:pPr>
            <w:r>
              <w:rPr>
                <w:rFonts w:ascii="仿宋_GB2312" w:hAnsi="仿宋_GB2312" w:cs="仿宋_GB2312" w:eastAsia="仿宋_GB2312"/>
              </w:rPr>
              <w:t>6.安全生产奖励费用：发给专职安全员工资总额以外。</w:t>
            </w:r>
          </w:p>
          <w:p>
            <w:pPr>
              <w:pStyle w:val="null3"/>
            </w:pPr>
            <w:r>
              <w:rPr>
                <w:rFonts w:ascii="仿宋_GB2312" w:hAnsi="仿宋_GB2312" w:cs="仿宋_GB2312" w:eastAsia="仿宋_GB2312"/>
              </w:rPr>
              <w:t>（七）建设单位及监理单位共同认定的其他安全生产费用。施工单位在以下范围内发生于安全生产相关的费用，均不列入安全生产费用，按正常工程费用渠道列支。</w:t>
            </w:r>
          </w:p>
          <w:p>
            <w:pPr>
              <w:pStyle w:val="null3"/>
            </w:pPr>
            <w:r>
              <w:rPr>
                <w:rFonts w:ascii="仿宋_GB2312" w:hAnsi="仿宋_GB2312" w:cs="仿宋_GB2312" w:eastAsia="仿宋_GB2312"/>
              </w:rPr>
              <w:t>1.施工单位应当为施工人员办理团体人身意外伤害险或个人意外伤害险；</w:t>
            </w:r>
          </w:p>
          <w:p>
            <w:pPr>
              <w:pStyle w:val="null3"/>
            </w:pPr>
            <w:r>
              <w:rPr>
                <w:rFonts w:ascii="仿宋_GB2312" w:hAnsi="仿宋_GB2312" w:cs="仿宋_GB2312" w:eastAsia="仿宋_GB2312"/>
              </w:rPr>
              <w:t>2.施工单位为职工提供的职业病防治、工伤保险、医疗保险费用；</w:t>
            </w:r>
          </w:p>
          <w:p>
            <w:pPr>
              <w:pStyle w:val="null3"/>
            </w:pPr>
            <w:r>
              <w:rPr>
                <w:rFonts w:ascii="仿宋_GB2312" w:hAnsi="仿宋_GB2312" w:cs="仿宋_GB2312" w:eastAsia="仿宋_GB2312"/>
              </w:rPr>
              <w:t>3.工地临时办公、宿舍、食堂等现场办公生活设施为达到安全要求所需费用高；</w:t>
            </w:r>
          </w:p>
          <w:p>
            <w:pPr>
              <w:pStyle w:val="null3"/>
            </w:pPr>
            <w:r>
              <w:rPr>
                <w:rFonts w:ascii="仿宋_GB2312" w:hAnsi="仿宋_GB2312" w:cs="仿宋_GB2312" w:eastAsia="仿宋_GB2312"/>
              </w:rPr>
              <w:t>4.按正常施工作业所设置的基坑围护、防失稳支撑、支架、安全用电等设备费用。</w:t>
            </w:r>
          </w:p>
          <w:p>
            <w:pPr>
              <w:pStyle w:val="null3"/>
            </w:pPr>
            <w:r>
              <w:rPr>
                <w:rFonts w:ascii="仿宋_GB2312" w:hAnsi="仿宋_GB2312" w:cs="仿宋_GB2312" w:eastAsia="仿宋_GB2312"/>
              </w:rPr>
              <w:t>4.2安全生产费考核标准</w:t>
            </w:r>
          </w:p>
          <w:p>
            <w:pPr>
              <w:pStyle w:val="null3"/>
            </w:pPr>
            <w:r>
              <w:rPr>
                <w:rFonts w:ascii="仿宋_GB2312" w:hAnsi="仿宋_GB2312" w:cs="仿宋_GB2312" w:eastAsia="仿宋_GB2312"/>
              </w:rPr>
              <w:t>1.有关施工的许可证件及执照的办理。承包人应该从有关部门申请取得相关施工许可。</w:t>
            </w:r>
          </w:p>
          <w:p>
            <w:pPr>
              <w:pStyle w:val="null3"/>
            </w:pPr>
            <w:r>
              <w:rPr>
                <w:rFonts w:ascii="仿宋_GB2312" w:hAnsi="仿宋_GB2312" w:cs="仿宋_GB2312" w:eastAsia="仿宋_GB2312"/>
              </w:rPr>
              <w:t>2.文明施工</w:t>
            </w:r>
          </w:p>
          <w:p>
            <w:pPr>
              <w:pStyle w:val="null3"/>
            </w:pPr>
            <w:r>
              <w:rPr>
                <w:rFonts w:ascii="仿宋_GB2312" w:hAnsi="仿宋_GB2312" w:cs="仿宋_GB2312" w:eastAsia="仿宋_GB2312"/>
              </w:rPr>
              <w:t>（1）现场施工人员需佩带标牌和戴好安全帽。</w:t>
            </w:r>
          </w:p>
          <w:p>
            <w:pPr>
              <w:pStyle w:val="null3"/>
            </w:pPr>
            <w:r>
              <w:rPr>
                <w:rFonts w:ascii="仿宋_GB2312" w:hAnsi="仿宋_GB2312" w:cs="仿宋_GB2312" w:eastAsia="仿宋_GB2312"/>
              </w:rPr>
              <w:t>（2）施工现场应清洁整齐，各种材料堆放有序、标识（名称、规格、产地等）清晰。</w:t>
            </w:r>
          </w:p>
          <w:p>
            <w:pPr>
              <w:pStyle w:val="null3"/>
            </w:pPr>
            <w:r>
              <w:rPr>
                <w:rFonts w:ascii="仿宋_GB2312" w:hAnsi="仿宋_GB2312" w:cs="仿宋_GB2312" w:eastAsia="仿宋_GB2312"/>
              </w:rPr>
              <w:t>（3）施工标段起、终点设置长久固定醒目的标志牌各一块。标志牌的内容应包括：工程名称、工程地点、施工范围、开竣工日期、发包人名称、设计单位名称、承包人名称、监理名称。标志牌的制作、设置费用已包括在相应合同单价中，不再另行支付。</w:t>
            </w:r>
          </w:p>
          <w:p>
            <w:pPr>
              <w:pStyle w:val="null3"/>
            </w:pPr>
            <w:r>
              <w:rPr>
                <w:rFonts w:ascii="仿宋_GB2312" w:hAnsi="仿宋_GB2312" w:cs="仿宋_GB2312" w:eastAsia="仿宋_GB2312"/>
              </w:rPr>
              <w:t>3.本项目施工期应维护被交叉公路交通的正常通行，临时封闭施工或改线的，应报相关主管部门批准。施工中用于渠化交通的锥形交通路标、安全带、路栏、施工隔离墩、防撞桶（墙）、警示灯等安全设施应齐备，对于施工所需的临时封路标志牌、标志筒等设施，严格按照《道路交通标志和标线 第2部分：道路交通标志》（GB 5768.2-2022）、交通运输部颁发的《公路水运工程安全生产监督管理办法》和《公路养护安全作业规程》（JTG H30-2015）等法律、法规、规范的要求，摆放临时施工标志标牌、夜间警示灯、护栅、警告标牌等安全防护设施，并严格服从交通运输及交通安全管理部门的管理。</w:t>
            </w:r>
          </w:p>
          <w:p>
            <w:pPr>
              <w:pStyle w:val="null3"/>
            </w:pPr>
            <w:r>
              <w:rPr>
                <w:rFonts w:ascii="仿宋_GB2312" w:hAnsi="仿宋_GB2312" w:cs="仿宋_GB2312" w:eastAsia="仿宋_GB2312"/>
              </w:rPr>
              <w:t>4.职工食堂、宿舍整洁干净，相关人员有健康上岗证。</w:t>
            </w:r>
          </w:p>
          <w:p>
            <w:pPr>
              <w:pStyle w:val="null3"/>
            </w:pPr>
            <w:r>
              <w:rPr>
                <w:rFonts w:ascii="仿宋_GB2312" w:hAnsi="仿宋_GB2312" w:cs="仿宋_GB2312" w:eastAsia="仿宋_GB2312"/>
              </w:rPr>
              <w:t>4.3安全生产费计量方法根据使用范围、考核标准实际投入的安全生产费用，经业主批准支付，但安全生产费用支付累计不得超过清单报价总额。</w:t>
            </w:r>
          </w:p>
          <w:p>
            <w:pPr>
              <w:pStyle w:val="null3"/>
            </w:pPr>
            <w:r>
              <w:rPr>
                <w:rFonts w:ascii="仿宋_GB2312" w:hAnsi="仿宋_GB2312" w:cs="仿宋_GB2312" w:eastAsia="仿宋_GB2312"/>
              </w:rPr>
              <w:t>5.工程量清单</w:t>
            </w:r>
          </w:p>
          <w:p>
            <w:pPr>
              <w:pStyle w:val="null3"/>
            </w:pPr>
            <w:r>
              <w:rPr>
                <w:rFonts w:ascii="仿宋_GB2312" w:hAnsi="仿宋_GB2312" w:cs="仿宋_GB2312" w:eastAsia="仿宋_GB2312"/>
              </w:rPr>
              <w:t>见附件。</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1.工程质量须符合国家、行业及地方现行相关标准与规范要求，确保达到合格标准，并满足采购文件及合同约定。2.工程质量验收应严格执行《公路工程质量检验评定标准》（JTG F80/1-2017）等现行有效的行业规范、设计文件（施工图等）、采购文件及合同约定的质量标准。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1.本工程所有设计、施工及验收均须符合国家、省、市现行相关规范、规程和标准。 2.成交供应商须在工程竣工时提交完整、签章齐全的竣工资料。 3.工程验收程序应符合国家及地方相关工程管理规定。</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1.完全理解并接受第八章“拟签订采购合同文本”。2.商务要求见详见上述“一、技术、服务标准和要求”相关内容。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供应商需在项目电子化交易系统中按要求上传相应资格证明文件并进行电子签章；供应商需在项目电子化交易系统中按要求填写《响应函》完成承诺并进行电子签章。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供应商需在项目电子化交易系统中按要求上传相应资格证明文件并进行电子签章；供应商需在项目电子化交易系统中按要求填写《响应函》完成承诺并进行电子签章。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供应商需在项目电子化交易系统中按要求上传相应资格证明文件并进行电子签章；供应商需在项目电子化交易系统中按要求填写《响应函》完成承诺并进行电子签章。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提供了企业声明函原件，本项目采购标的对应的中小企业划分标准所属行业为建筑业。建筑业的划型标准为：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供应商代表身份</w:t>
            </w:r>
          </w:p>
        </w:tc>
        <w:tc>
          <w:tcPr>
            <w:tcW w:type="dxa" w:w="3322"/>
          </w:tcPr>
          <w:p>
            <w:pPr>
              <w:pStyle w:val="null3"/>
            </w:pPr>
            <w:r>
              <w:rPr>
                <w:rFonts w:ascii="仿宋_GB2312" w:hAnsi="仿宋_GB2312" w:cs="仿宋_GB2312" w:eastAsia="仿宋_GB2312"/>
              </w:rPr>
              <w:t>法定代表人参加磋商的，须提供本人身份证复印件（附在资格证明文件中）；法定代表人授权他人参加磋商的，须提供法定代表人授权委托书、授权代表身份证、授权代表本单位证明（在供应商单位近3个月内任意一个月缴纳的养老保险证明）。竞争性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提供有效存续的企业营业执照（含最新年度报告）；</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供应商具备有效的公路工程施工总承包三级及以上或公路交通工程（公路安全设施）专业承包二级及以上资质；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供应商具备有效的安全生产许可证；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供应商拟派项目经理具备公路工程专业二级及以上注册建造师证，且注册单位须与投标人名称相同，并持有交通主管部门颁发的《安全生产考核合格证书》（交安B），无在岗项目，无不良记录；</w:t>
            </w:r>
          </w:p>
        </w:tc>
        <w:tc>
          <w:tcPr>
            <w:tcW w:type="dxa" w:w="1661"/>
          </w:tcPr>
          <w:p>
            <w:pPr>
              <w:pStyle w:val="null3"/>
            </w:pPr>
            <w:r>
              <w:rPr>
                <w:rFonts w:ascii="仿宋_GB2312" w:hAnsi="仿宋_GB2312" w:cs="仿宋_GB2312" w:eastAsia="仿宋_GB2312"/>
              </w:rPr>
              <w:t>项目经理资历表.docx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项目总工</w:t>
            </w:r>
          </w:p>
        </w:tc>
        <w:tc>
          <w:tcPr>
            <w:tcW w:type="dxa" w:w="3322"/>
          </w:tcPr>
          <w:p>
            <w:pPr>
              <w:pStyle w:val="null3"/>
            </w:pPr>
            <w:r>
              <w:rPr>
                <w:rFonts w:ascii="仿宋_GB2312" w:hAnsi="仿宋_GB2312" w:cs="仿宋_GB2312" w:eastAsia="仿宋_GB2312"/>
              </w:rPr>
              <w:t>供应商拟派项目总工具备公路或道路相关专业工程师及以上职称，并持有交通主管部门颁发的《安全生产考核合格证书》（交安B），无在岗项目，无不良记录；</w:t>
            </w:r>
          </w:p>
        </w:tc>
        <w:tc>
          <w:tcPr>
            <w:tcW w:type="dxa" w:w="1661"/>
          </w:tcPr>
          <w:p>
            <w:pPr>
              <w:pStyle w:val="null3"/>
            </w:pPr>
            <w:r>
              <w:rPr>
                <w:rFonts w:ascii="仿宋_GB2312" w:hAnsi="仿宋_GB2312" w:cs="仿宋_GB2312" w:eastAsia="仿宋_GB2312"/>
              </w:rPr>
              <w:t>项目总工资历表.docx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响应文件截止时间不足一年的可提供成立后任意时段的资产负债表），或其响应文件递交截止之日前三个月内基本开户银行出具的资信证明，或信用担保机构出具的磋商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提供2025年5月1日至响应文件递交截止之日任意一个月的社会保障资金缴存单据或社保机构开具的社会保险参保缴费情况证明。依法不需要缴纳社会保障资金的供应商应提供相关证明文件；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5月1日至响应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按格式填写，提供原件）。经查，供应商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提供直接控股和管理关系清单。若与其他供应商存在单位负责人为同一人或者存在直接控股、管理关系的，则磋商无效；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本合同包不接受联合体磋商、不允许分包</w:t>
            </w:r>
          </w:p>
        </w:tc>
        <w:tc>
          <w:tcPr>
            <w:tcW w:type="dxa" w:w="3322"/>
          </w:tcPr>
          <w:p>
            <w:pPr>
              <w:pStyle w:val="null3"/>
            </w:pPr>
            <w:r>
              <w:rPr>
                <w:rFonts w:ascii="仿宋_GB2312" w:hAnsi="仿宋_GB2312" w:cs="仿宋_GB2312" w:eastAsia="仿宋_GB2312"/>
              </w:rPr>
              <w:t>供应商提供《非联合体磋商不分包声明》，视为独立响应、不分包。</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磋商文件盖章</w:t>
            </w:r>
          </w:p>
        </w:tc>
        <w:tc>
          <w:tcPr>
            <w:tcW w:type="dxa" w:w="3322"/>
          </w:tcPr>
          <w:p>
            <w:pPr>
              <w:pStyle w:val="null3"/>
            </w:pPr>
            <w:r>
              <w:rPr>
                <w:rFonts w:ascii="仿宋_GB2312" w:hAnsi="仿宋_GB2312" w:cs="仿宋_GB2312" w:eastAsia="仿宋_GB2312"/>
              </w:rPr>
              <w:t>响应文件盖章满足磋商文件的要求</w:t>
            </w:r>
          </w:p>
        </w:tc>
        <w:tc>
          <w:tcPr>
            <w:tcW w:type="dxa" w:w="1661"/>
          </w:tcPr>
          <w:p>
            <w:pPr>
              <w:pStyle w:val="null3"/>
            </w:pPr>
            <w:r>
              <w:rPr>
                <w:rFonts w:ascii="仿宋_GB2312" w:hAnsi="仿宋_GB2312" w:cs="仿宋_GB2312" w:eastAsia="仿宋_GB2312"/>
              </w:rPr>
              <w:t>响应文件封面 项目经理资历表.docx 近年完成类似项目情况表.docx 已标价工程量清单 拟投入本项目人员配置情况表.docx 项目总工资历表.docx 中小企业声明函 技术服务合同条款及其他商务要求应答表 响应函 承诺函.docx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w:t>
            </w:r>
          </w:p>
        </w:tc>
        <w:tc>
          <w:tcPr>
            <w:tcW w:type="dxa" w:w="3322"/>
          </w:tcPr>
          <w:p>
            <w:pPr>
              <w:pStyle w:val="null3"/>
            </w:pPr>
            <w:r>
              <w:rPr>
                <w:rFonts w:ascii="仿宋_GB2312" w:hAnsi="仿宋_GB2312" w:cs="仿宋_GB2312" w:eastAsia="仿宋_GB2312"/>
              </w:rPr>
              <w:t>响应文件法定代表人（或其他组织负责人）或其授权代表签字盖章满足磋商文件的要求</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供应商首次磋商报价未出现选择性报价，首次磋商报价未超出采购预算</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完全响应第三章“磋商项目技术、服务、商务及其他要求”，没有负偏离。</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合同文本响应</w:t>
            </w:r>
          </w:p>
        </w:tc>
        <w:tc>
          <w:tcPr>
            <w:tcW w:type="dxa" w:w="3322"/>
          </w:tcPr>
          <w:p>
            <w:pPr>
              <w:pStyle w:val="null3"/>
            </w:pPr>
            <w:r>
              <w:rPr>
                <w:rFonts w:ascii="仿宋_GB2312" w:hAnsi="仿宋_GB2312" w:cs="仿宋_GB2312" w:eastAsia="仿宋_GB2312"/>
              </w:rPr>
              <w:t>完全理解并接受第八章“拟签订采购合同文本”</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一、评审内容：供应商2022年1月1日至响应文件递交截止之日具有类似项目已完成的施工业绩（以合同签订时间为准）。 二、评审标准：完整性（业绩证明材料须完整，包含中标通知书及施工合同）；真实性（证明材料清晰可辨并加盖公章）； 符合性（业绩数量及合同签订时间符合要求）。 三、赋分标准：每提供1个符合要求的业绩证明得1分，满分3分。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近年完成类似项目情况表.docx</w:t>
            </w:r>
          </w:p>
        </w:tc>
      </w:tr>
      <w:tr>
        <w:tc>
          <w:tcPr>
            <w:tcW w:type="dxa" w:w="831"/>
            <w:vMerge/>
          </w:tcPr>
          <w:p/>
        </w:tc>
        <w:tc>
          <w:tcPr>
            <w:tcW w:type="dxa" w:w="1661"/>
          </w:tcPr>
          <w:p>
            <w:pPr>
              <w:pStyle w:val="null3"/>
            </w:pPr>
            <w:r>
              <w:rPr>
                <w:rFonts w:ascii="仿宋_GB2312" w:hAnsi="仿宋_GB2312" w:cs="仿宋_GB2312" w:eastAsia="仿宋_GB2312"/>
              </w:rPr>
              <w:t>项目部人员组成</w:t>
            </w:r>
          </w:p>
        </w:tc>
        <w:tc>
          <w:tcPr>
            <w:tcW w:type="dxa" w:w="2492"/>
          </w:tcPr>
          <w:p>
            <w:pPr>
              <w:pStyle w:val="null3"/>
            </w:pPr>
            <w:r>
              <w:rPr>
                <w:rFonts w:ascii="仿宋_GB2312" w:hAnsi="仿宋_GB2312" w:cs="仿宋_GB2312" w:eastAsia="仿宋_GB2312"/>
              </w:rPr>
              <w:t>一、评审内容：项目部人员除项目经理外，配备施工员、质量员、安全员、材料员、资料员各1人，以及在满足基本要求基础上的人员增加情况。 二、评审标准：完整性（基本岗位人员配备齐全）；真实性（人员岗位证书清晰可辨并加盖公章）；符合性（人员数量及岗位配置符合要求）。 三、赋分标准：①基本配置得分：满足基本人员配置要求（5个指定岗位）得5分，每缺少1人扣1分，扣完为止；②人员储备加分：在满足基本要求的基础上，每增加1名持证项目部人员（岗位不限）加0.5分，最多加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拟投入本项目人员配置情况表.docx</w:t>
            </w:r>
          </w:p>
        </w:tc>
      </w:tr>
      <w:tr>
        <w:tc>
          <w:tcPr>
            <w:tcW w:type="dxa" w:w="831"/>
            <w:vMerge/>
          </w:tcP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一、评审内容：包含①施工目标②施工准备③施工平面布置与安排。 二、评审标准：完整性（内容完整、无缺失）、可实施性（步骤清晰合理）、针对性（紧扣项目实际）。 三、赋分标准：每部分（①、②、③）基于评审标准整体评价，完全满足得3分（每满足一个评审标准得1分），满分9分。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1.施工部署.docx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一、评审内容：包含①施工进度计划横道图②进度计划保证措施③工期保证措施。 二、评审标准：完整性（内容完整、无缺失）、可实施性（步骤清晰合理）、针对性（紧扣项目实际）。 三、赋分标准：每部分（①、②、③）基于评审标准整体评价，完全满足得1.5分（每满足一个评审标准得0.5分），满分4.5分。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2.施工进度计划.docx</w:t>
            </w:r>
          </w:p>
        </w:tc>
      </w:tr>
      <w:tr>
        <w:tc>
          <w:tcPr>
            <w:tcW w:type="dxa" w:w="831"/>
            <w:vMerge/>
          </w:tcPr>
          <w:p/>
        </w:tc>
        <w:tc>
          <w:tcPr>
            <w:tcW w:type="dxa" w:w="1661"/>
          </w:tcPr>
          <w:p>
            <w:pPr>
              <w:pStyle w:val="null3"/>
            </w:pPr>
            <w:r>
              <w:rPr>
                <w:rFonts w:ascii="仿宋_GB2312" w:hAnsi="仿宋_GB2312" w:cs="仿宋_GB2312" w:eastAsia="仿宋_GB2312"/>
              </w:rPr>
              <w:t>分部分项工程施工方案</w:t>
            </w:r>
          </w:p>
        </w:tc>
        <w:tc>
          <w:tcPr>
            <w:tcW w:type="dxa" w:w="2492"/>
          </w:tcPr>
          <w:p>
            <w:pPr>
              <w:pStyle w:val="null3"/>
            </w:pPr>
            <w:r>
              <w:rPr>
                <w:rFonts w:ascii="仿宋_GB2312" w:hAnsi="仿宋_GB2312" w:cs="仿宋_GB2312" w:eastAsia="仿宋_GB2312"/>
              </w:rPr>
              <w:t>一、评审内容：包含①工程重难点及解决措施②分部分项工程施工方法③施工质量通病防治措施。 二、评审标准：完整性（内容完整、无缺失）、可实施性（步骤清晰合理）、针对性（紧扣项目实际）。 三、赋分标准：每部分（①、②、③）基于评审标准整体评价，完全满足得4.5分（每满足一个评审标准得1.5分），满分13.5分。</w:t>
            </w:r>
          </w:p>
        </w:tc>
        <w:tc>
          <w:tcPr>
            <w:tcW w:type="dxa" w:w="831"/>
          </w:tcPr>
          <w:p>
            <w:pPr>
              <w:pStyle w:val="null3"/>
              <w:jc w:val="right"/>
            </w:pPr>
            <w:r>
              <w:rPr>
                <w:rFonts w:ascii="仿宋_GB2312" w:hAnsi="仿宋_GB2312" w:cs="仿宋_GB2312" w:eastAsia="仿宋_GB2312"/>
              </w:rPr>
              <w:t>13.5000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3.分部分项工程施工方案.docx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一、评审内容：包含①质量目标管理体系②施工质量的检验制度③确保质量的技术组织措施、④施工质量控制措施。 二、评审标准：完整性（内容完整、无缺失）可实施性（步骤清晰合理）针对性（紧扣项目实际）。 三、赋分标准：每部分（①、②、③、④）基于评审标准整体评价，完全满足得1.5分（每满足一个评审标准得0.5分），满分6分。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4.质量保证措施.docx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一、评审内容：包含①安全生产管理制度②安全施工措施③安全应急预案④安全生产教育。 二、评审标准：完整性（内容完整、无缺失）、可实施性（步骤清晰合理）、针对性（紧扣项目实际）。 三、赋分标准：每部分（①、②、③、④）基于评审标准整体评价，完全满足得1.5分（每满足一个评审标准得0.5分），满分6分。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5.安全施工措施.docx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一、评审内容：包含①文明施工管理目标及技术措施②文明施工现场管理（材料管理、防扰民措施）。 二、评审标准：完整性（内容完整、无缺失）、可实施性（步骤清晰合理）、针对性（紧扣项目实际）。 三、赋分标准：每部分（①、②）基于评审标准整体评价，完全满足得1.5分（每满足一个评审标准得0.5分），满分3分。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6.文明施工措施.docx</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一、评审内容：包含①成品保护措施②季节性施工措施③消防保卫措施④环境保护措施。 二、评审标准：完整性（内容完整、无缺失）、可实施性（步骤清晰合理）、针对性（紧扣项目实际）。 三、赋分标准：每部分（①、②、③、④）基于评审标准整体评价，完全满足得1.5分（每满足一个评审标准得0.5分），满分6分。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7.主要管理措施.docx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一、评审内容：包含①管理机构的配备计划②组织机构的岗位职责。 二、评审标准：完整性（机构设置全面）、可实施性（步骤清晰合理）、针对性（紧扣项目实际）。 三、赋分标准：每部分（①、②）基于评审标准整体评价，完全满足得1.5分（每满足一个评审标准得0.5分），满分3分。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8.项目管理机构.docx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最终磋商报价得分 = (基准价／最终磋商报价) × 40 满足磋商文件要求且最终磋商报价最低的为基准价，其价格分为满分。其他磋商供应商的价格分统一按照上述公式计算。 （磋商小组认为供应商的最终报价明显低于其他通过符合性审查供应商的报价，有可能影响工程质量或者不能诚信履约的，应当在磋商现场提供书面说明及相关证明材料。供应商不能证明其报价合理性的，为无效磋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详见附件：近年完成类似项目情况表.docx</w:t>
      </w:r>
    </w:p>
    <w:p>
      <w:pPr>
        <w:pStyle w:val="null3"/>
        <w:ind w:firstLine="960"/>
      </w:pPr>
      <w:r>
        <w:rPr>
          <w:rFonts w:ascii="仿宋_GB2312" w:hAnsi="仿宋_GB2312" w:cs="仿宋_GB2312" w:eastAsia="仿宋_GB2312"/>
        </w:rPr>
        <w:t>详见附件：项目经理资历表.docx</w:t>
      </w:r>
    </w:p>
    <w:p>
      <w:pPr>
        <w:pStyle w:val="null3"/>
        <w:ind w:firstLine="960"/>
      </w:pPr>
      <w:r>
        <w:rPr>
          <w:rFonts w:ascii="仿宋_GB2312" w:hAnsi="仿宋_GB2312" w:cs="仿宋_GB2312" w:eastAsia="仿宋_GB2312"/>
        </w:rPr>
        <w:t>详见附件：项目总工资历表.docx</w:t>
      </w:r>
    </w:p>
    <w:p>
      <w:pPr>
        <w:pStyle w:val="null3"/>
        <w:ind w:firstLine="960"/>
      </w:pPr>
      <w:r>
        <w:rPr>
          <w:rFonts w:ascii="仿宋_GB2312" w:hAnsi="仿宋_GB2312" w:cs="仿宋_GB2312" w:eastAsia="仿宋_GB2312"/>
        </w:rPr>
        <w:t>详见附件：拟投入本项目人员配置情况表.docx</w:t>
      </w:r>
    </w:p>
    <w:p>
      <w:pPr>
        <w:pStyle w:val="null3"/>
        <w:ind w:firstLine="960"/>
      </w:pPr>
      <w:r>
        <w:rPr>
          <w:rFonts w:ascii="仿宋_GB2312" w:hAnsi="仿宋_GB2312" w:cs="仿宋_GB2312" w:eastAsia="仿宋_GB2312"/>
        </w:rPr>
        <w:t>详见附件：1.施工部署.docx</w:t>
      </w:r>
    </w:p>
    <w:p>
      <w:pPr>
        <w:pStyle w:val="null3"/>
        <w:ind w:firstLine="960"/>
      </w:pPr>
      <w:r>
        <w:rPr>
          <w:rFonts w:ascii="仿宋_GB2312" w:hAnsi="仿宋_GB2312" w:cs="仿宋_GB2312" w:eastAsia="仿宋_GB2312"/>
        </w:rPr>
        <w:t>详见附件：2.施工进度计划.docx</w:t>
      </w:r>
    </w:p>
    <w:p>
      <w:pPr>
        <w:pStyle w:val="null3"/>
        <w:ind w:firstLine="960"/>
      </w:pPr>
      <w:r>
        <w:rPr>
          <w:rFonts w:ascii="仿宋_GB2312" w:hAnsi="仿宋_GB2312" w:cs="仿宋_GB2312" w:eastAsia="仿宋_GB2312"/>
        </w:rPr>
        <w:t>详见附件：3.分部分项工程施工方案.docx</w:t>
      </w:r>
    </w:p>
    <w:p>
      <w:pPr>
        <w:pStyle w:val="null3"/>
        <w:ind w:firstLine="960"/>
      </w:pPr>
      <w:r>
        <w:rPr>
          <w:rFonts w:ascii="仿宋_GB2312" w:hAnsi="仿宋_GB2312" w:cs="仿宋_GB2312" w:eastAsia="仿宋_GB2312"/>
        </w:rPr>
        <w:t>详见附件：4.质量保证措施.docx</w:t>
      </w:r>
    </w:p>
    <w:p>
      <w:pPr>
        <w:pStyle w:val="null3"/>
        <w:ind w:firstLine="960"/>
      </w:pPr>
      <w:r>
        <w:rPr>
          <w:rFonts w:ascii="仿宋_GB2312" w:hAnsi="仿宋_GB2312" w:cs="仿宋_GB2312" w:eastAsia="仿宋_GB2312"/>
        </w:rPr>
        <w:t>详见附件：5.安全施工措施.docx</w:t>
      </w:r>
    </w:p>
    <w:p>
      <w:pPr>
        <w:pStyle w:val="null3"/>
        <w:ind w:firstLine="960"/>
      </w:pPr>
      <w:r>
        <w:rPr>
          <w:rFonts w:ascii="仿宋_GB2312" w:hAnsi="仿宋_GB2312" w:cs="仿宋_GB2312" w:eastAsia="仿宋_GB2312"/>
        </w:rPr>
        <w:t>详见附件：6.文明施工措施.docx</w:t>
      </w:r>
    </w:p>
    <w:p>
      <w:pPr>
        <w:pStyle w:val="null3"/>
        <w:ind w:firstLine="960"/>
      </w:pPr>
      <w:r>
        <w:rPr>
          <w:rFonts w:ascii="仿宋_GB2312" w:hAnsi="仿宋_GB2312" w:cs="仿宋_GB2312" w:eastAsia="仿宋_GB2312"/>
        </w:rPr>
        <w:t>详见附件：7.主要管理措施.docx</w:t>
      </w:r>
    </w:p>
    <w:p>
      <w:pPr>
        <w:pStyle w:val="null3"/>
        <w:ind w:firstLine="960"/>
      </w:pPr>
      <w:r>
        <w:rPr>
          <w:rFonts w:ascii="仿宋_GB2312" w:hAnsi="仿宋_GB2312" w:cs="仿宋_GB2312" w:eastAsia="仿宋_GB2312"/>
        </w:rPr>
        <w:t>详见附件：8.项目管理机构.docx</w:t>
      </w:r>
    </w:p>
    <w:p>
      <w:pPr>
        <w:pStyle w:val="null3"/>
        <w:ind w:firstLine="960"/>
      </w:pPr>
      <w:r>
        <w:rPr>
          <w:rFonts w:ascii="仿宋_GB2312" w:hAnsi="仿宋_GB2312" w:cs="仿宋_GB2312" w:eastAsia="仿宋_GB2312"/>
        </w:rPr>
        <w:t>详见附件：承诺函.docx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详见附件：公路工程施工合同.docx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