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版本号：ZCSP-白水县-2025-00258-07520251104001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白水县杜康沟水利文化提升项目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ZCSP-白水县-2025-00258-075</w:t>
      </w:r>
      <w:r>
        <w:br/>
      </w:r>
      <w:r>
        <w:br/>
      </w:r>
      <w:r>
        <w:br/>
      </w:r>
    </w:p>
    <w:p>
      <w:pPr>
        <w:pStyle w:val="null3"/>
        <w:jc w:val="center"/>
        <w:outlineLvl w:val="2"/>
      </w:pPr>
      <w:r>
        <w:rPr>
          <w:rFonts w:ascii="仿宋_GB2312" w:hAnsi="仿宋_GB2312" w:cs="仿宋_GB2312" w:eastAsia="仿宋_GB2312"/>
          <w:sz w:val="28"/>
          <w:b/>
        </w:rPr>
        <w:t>白水县水土保持和移民工作中心</w:t>
      </w:r>
    </w:p>
    <w:p>
      <w:pPr>
        <w:pStyle w:val="null3"/>
        <w:jc w:val="center"/>
        <w:outlineLvl w:val="2"/>
      </w:pPr>
      <w:r>
        <w:rPr>
          <w:rFonts w:ascii="仿宋_GB2312" w:hAnsi="仿宋_GB2312" w:cs="仿宋_GB2312" w:eastAsia="仿宋_GB2312"/>
          <w:sz w:val="28"/>
          <w:b/>
        </w:rPr>
        <w:t>鸿民国际工程（集团）有限公司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鸿民国际工程（集团）有限公司</w:t>
      </w:r>
      <w:r>
        <w:rPr>
          <w:rFonts w:ascii="仿宋_GB2312" w:hAnsi="仿宋_GB2312" w:cs="仿宋_GB2312" w:eastAsia="仿宋_GB2312"/>
        </w:rPr>
        <w:t>（以下简称“代理机构”）受</w:t>
      </w:r>
      <w:r>
        <w:rPr>
          <w:rFonts w:ascii="仿宋_GB2312" w:hAnsi="仿宋_GB2312" w:cs="仿宋_GB2312" w:eastAsia="仿宋_GB2312"/>
        </w:rPr>
        <w:t>白水县水土保持和移民工作中心</w:t>
      </w:r>
      <w:r>
        <w:rPr>
          <w:rFonts w:ascii="仿宋_GB2312" w:hAnsi="仿宋_GB2312" w:cs="仿宋_GB2312" w:eastAsia="仿宋_GB2312"/>
        </w:rPr>
        <w:t>委托，拟对</w:t>
      </w:r>
      <w:r>
        <w:rPr>
          <w:rFonts w:ascii="仿宋_GB2312" w:hAnsi="仿宋_GB2312" w:cs="仿宋_GB2312" w:eastAsia="仿宋_GB2312"/>
        </w:rPr>
        <w:t>白水县杜康沟水利文化提升项目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ZCSP-白水县-2025-00258-075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白水县杜康沟水利文化提升项目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拆除重建仓储房1座，重建面积40m²；拆除重建设备房1座，重建面积42.35m²；改造加固办公楼1座，其中外墙装饰面积366m²；改造加固泵房1座，其中外墙装饰面积107.40m²；拆除重建蓄水池1座，容积50m³；改造加固清水池1座；水厂围墙、道路、给排水设施改造；铺设生产路、石拱桥及防护、坝顶交通桥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采购包1（白水县杜康沟水利文化提升项目）：属于专门面向中小企业采购。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代表身份：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2、营业执照：提供有效存续的企业营业执照（含最新年度报告）；</w:t>
      </w:r>
    </w:p>
    <w:p>
      <w:pPr>
        <w:pStyle w:val="null3"/>
      </w:pPr>
      <w:r>
        <w:rPr>
          <w:rFonts w:ascii="仿宋_GB2312" w:hAnsi="仿宋_GB2312" w:cs="仿宋_GB2312" w:eastAsia="仿宋_GB2312"/>
        </w:rPr>
        <w:t>3、资质证书：供应商具备有效的建筑工程施工总承包二级及以上资质；</w:t>
      </w:r>
    </w:p>
    <w:p>
      <w:pPr>
        <w:pStyle w:val="null3"/>
      </w:pPr>
      <w:r>
        <w:rPr>
          <w:rFonts w:ascii="仿宋_GB2312" w:hAnsi="仿宋_GB2312" w:cs="仿宋_GB2312" w:eastAsia="仿宋_GB2312"/>
        </w:rPr>
        <w:t>4、安全生产许可证：供应商具备有效的安全生产许可证；</w:t>
      </w:r>
    </w:p>
    <w:p>
      <w:pPr>
        <w:pStyle w:val="null3"/>
      </w:pPr>
      <w:r>
        <w:rPr>
          <w:rFonts w:ascii="仿宋_GB2312" w:hAnsi="仿宋_GB2312" w:cs="仿宋_GB2312" w:eastAsia="仿宋_GB2312"/>
        </w:rPr>
        <w:t>5、项目经理：供应商拟派项目经理具备有效的建筑工程专业二级及以上建造师注册证书，并具备有效的安全生产考核合格证书（建安B证），提供无在建项目承诺；</w:t>
      </w:r>
    </w:p>
    <w:p>
      <w:pPr>
        <w:pStyle w:val="null3"/>
      </w:pPr>
      <w:r>
        <w:rPr>
          <w:rFonts w:ascii="仿宋_GB2312" w:hAnsi="仿宋_GB2312" w:cs="仿宋_GB2312" w:eastAsia="仿宋_GB2312"/>
        </w:rPr>
        <w:t>6、财务状况报告：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p>
      <w:pPr>
        <w:pStyle w:val="null3"/>
      </w:pPr>
      <w:r>
        <w:rPr>
          <w:rFonts w:ascii="仿宋_GB2312" w:hAnsi="仿宋_GB2312" w:cs="仿宋_GB2312" w:eastAsia="仿宋_GB2312"/>
        </w:rPr>
        <w:t>7、社保缴纳证明：提供2025年1月1日至响应文件递交截止之日任意一个月的社会保障资金缴存单据或社保机构开具的社会保险参保缴费情况证明。依法不需要缴纳社会保障资金的供应商应提供相关证明文件；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8、税收缴纳证明：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9、信用记录：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10、控股管理关系：提供直接控股和管理关系清单。若与其他供应商存在单位负责人为同一人或者存在直接控股、管理关系的，则磋商无效；</w:t>
      </w:r>
    </w:p>
    <w:p>
      <w:pPr>
        <w:pStyle w:val="null3"/>
      </w:pPr>
      <w:r>
        <w:rPr>
          <w:rFonts w:ascii="仿宋_GB2312" w:hAnsi="仿宋_GB2312" w:cs="仿宋_GB2312" w:eastAsia="仿宋_GB2312"/>
        </w:rPr>
        <w:t>11、书面声明：提供书面声明，包括声明具有履行合同所必需的设备和专业技术能力；未为本项目提供整体设计、规范编制或者项目管理、监理、检测等服务；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12、本合同包不接受联合体磋商、不允许分包：供应商提供《非联合体磋商不分包声明》，视为独立响应、不分包。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白水县水土保持和移民工作中心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白水县城关镇城南公路16号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史志龙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0913-6155705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鸿民国际工程（集团）有限公司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渭南市临渭区西四路林业大厦四层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党文丽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13259083638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白水县财政局政府采购管理股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0913-8483373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采购包1：2,609,340.01元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依据“财库[2018]2号-财政部关于印发《政府采购代理机构管理暂行办法》的通知”第十五条规定，约定代理服务费由各合同包成交单位支付。成交单位在领取成交通知书前一次性付清，费用包括： （1）代理费：按照国家计委关于《招标代理服务收费管理暂行办法》（计价格〔2002〕1980号）、《国家发展改革委关于降低部分建设项目收费标准规范收费行为等有关问题的通知》（发改价格〔2011〕534号），以合同包成交价为基数，按标准的100%收取。 （2）工程量清单及最高限价编制费：参照陕西省物价局陕西省住房和城乡建设厅《关于我省工程造价咨询服务收费标准有关问题的通知》（陕价行发〔2014〕88号），以合同包最高限价为基数，按标准的100%收取。 成交单位的代理服务费交纳信息 户 名：鸿民国际工程（集团）有限公司渭南分公司 开户银行：中国建设银行股份有限公司渭南朝阳大街支行 账 号：61050164500800000631 联系人：党文丽 联系电话：13259083638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白水县水土保持和移民工作中心</w:t>
      </w:r>
      <w:r>
        <w:rPr>
          <w:rFonts w:ascii="仿宋_GB2312" w:hAnsi="仿宋_GB2312" w:cs="仿宋_GB2312" w:eastAsia="仿宋_GB2312"/>
        </w:rPr>
        <w:t>和</w:t>
      </w:r>
      <w:r>
        <w:rPr>
          <w:rFonts w:ascii="仿宋_GB2312" w:hAnsi="仿宋_GB2312" w:cs="仿宋_GB2312" w:eastAsia="仿宋_GB2312"/>
        </w:rPr>
        <w:t>鸿民国际工程（集团）有限公司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白水县水土保持和移民工作中心</w:t>
      </w:r>
      <w:r>
        <w:rPr>
          <w:rFonts w:ascii="仿宋_GB2312" w:hAnsi="仿宋_GB2312" w:cs="仿宋_GB2312" w:eastAsia="仿宋_GB2312"/>
        </w:rPr>
        <w:t>负责解释。除上述磋商文件内容，其他内容由</w:t>
      </w:r>
      <w:r>
        <w:rPr>
          <w:rFonts w:ascii="仿宋_GB2312" w:hAnsi="仿宋_GB2312" w:cs="仿宋_GB2312" w:eastAsia="仿宋_GB2312"/>
        </w:rPr>
        <w:t>鸿民国际工程（集团）有限公司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白水县水土保持和移民工作中心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鸿民国际工程（集团）有限公司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（一）验收标准 1.工程实体质量：符合《水利水电工程施工质量检验与评定规程》（SL 176）、《建筑工程施工质量验收统一标准》（GB 50300）等国家及行业强制性标准、地方相关规定及设计要求。 2.观感质量：建筑物外观整洁、装饰美观；道路平整、桥梁线形流畅；水池无渗漏；场地清理干净。 （二）验收方法 1.实地查看：验收组对全部工程内容进行实地检查。 2.资料审核：施工单位需提供完整的竣工资料，包括： 施工图及设计变更文件。 原材料、构配件合格证及复试报告。 隐蔽工程验收记录。 施工记录、试验报告（如水池满水试验记录、混凝土试块强度报告等）。 施工日志、分部分项工程质量验收记录。 竣工图纸。 重大问题处理记录与验收文件。 （三）技术履约验收内容 1.功能实现：各类建筑满足使用功能，水池蓄水防渗合格，道路桥梁通行安全，给排水系统运行正常。 2.结构安全：加固改造后的建筑、构筑物结构安全稳定。 3.环境提升：厂区及周边环境得到明显改善，符合项目目标。 （四）商务履约验收内容 1.合同执行情况：检查供应商是否严格按照合同约定的时间、地点、方式等履行合同义务。 2.资金使用合规性：审查供应商提供的资金使用明细账目，确保工程款项专款专用，资金使用符合合同约定和相关财务规定。 3.发票开具情况：供应商应按照合同约定和国家税收法律法规的规定，及时、准确地开具合法有效的发票。 （五）履约验收标准 1.所有验收项目必须全部合格。 2.对于验收中发现的不合格项，供应商应在15个工作日内完成整改并提请复验。复验仍不合格的，按合同约定承担违约责任。 （六）履约验收其他事项 1.验收时间节点：工程竣工后，施工单位应在10个工作日内提交竣工验收申请报告及相关资料。业主单位在收到申请报告和资料后的15个工作日内组织相关单位进行竣工验收。 2.参与人员：验收小组由业主单位代表、监理单位代表、设计单位代表、施工单位代表组成。可根据需要邀请相关领域专家或第三方检测机构参与。 3.争议解决方式：在验收过程中，若各方对验收结果产生争议，应首先通过友好协商解决。若协商无果，可向有管辖权的人民法院提起诉讼。在争议解决期间，不影响工程中无争议部分的验收和交付使用。</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联系人：党文丽</w:t>
      </w:r>
    </w:p>
    <w:p>
      <w:pPr>
        <w:pStyle w:val="null3"/>
      </w:pPr>
      <w:r>
        <w:rPr>
          <w:rFonts w:ascii="仿宋_GB2312" w:hAnsi="仿宋_GB2312" w:cs="仿宋_GB2312" w:eastAsia="仿宋_GB2312"/>
        </w:rPr>
        <w:t>联系电话：13259083638</w:t>
      </w:r>
    </w:p>
    <w:p>
      <w:pPr>
        <w:pStyle w:val="null3"/>
      </w:pPr>
      <w:r>
        <w:rPr>
          <w:rFonts w:ascii="仿宋_GB2312" w:hAnsi="仿宋_GB2312" w:cs="仿宋_GB2312" w:eastAsia="仿宋_GB2312"/>
        </w:rPr>
        <w:t>地址：渭南市临渭区西四路林业大厦四层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2,609,340.01</w:t>
      </w:r>
    </w:p>
    <w:p>
      <w:pPr>
        <w:pStyle w:val="null3"/>
      </w:pPr>
      <w:r>
        <w:rPr>
          <w:rFonts w:ascii="仿宋_GB2312" w:hAnsi="仿宋_GB2312" w:cs="仿宋_GB2312" w:eastAsia="仿宋_GB2312"/>
        </w:rPr>
        <w:t>采购包最高限价（元）: 2,609,340.01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 白水县杜康沟水利文化提升项目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2,609,340.01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 白水县杜康沟水利文化提升项目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rPr>
              <w:t>（一）技术标准</w:t>
            </w:r>
          </w:p>
          <w:p>
            <w:pPr>
              <w:pStyle w:val="null3"/>
            </w:pPr>
            <w:r>
              <w:rPr>
                <w:rFonts w:ascii="仿宋_GB2312" w:hAnsi="仿宋_GB2312" w:cs="仿宋_GB2312" w:eastAsia="仿宋_GB2312"/>
              </w:rPr>
              <w:t>1.本项目施工必须严格遵循国家及行业现行的一系列技术规范标准，包括但不限于：</w:t>
            </w:r>
          </w:p>
          <w:p>
            <w:pPr>
              <w:pStyle w:val="null3"/>
            </w:pPr>
            <w:r>
              <w:rPr>
                <w:rFonts w:ascii="仿宋_GB2312" w:hAnsi="仿宋_GB2312" w:cs="仿宋_GB2312" w:eastAsia="仿宋_GB2312"/>
              </w:rPr>
              <w:t>《建筑工程施工质量验收统一标准》（GB 50300）</w:t>
            </w:r>
          </w:p>
          <w:p>
            <w:pPr>
              <w:pStyle w:val="null3"/>
            </w:pPr>
            <w:r>
              <w:rPr>
                <w:rFonts w:ascii="仿宋_GB2312" w:hAnsi="仿宋_GB2312" w:cs="仿宋_GB2312" w:eastAsia="仿宋_GB2312"/>
              </w:rPr>
              <w:t>《水利水电工程施工质量检验与评定规程》（SL 176）</w:t>
            </w:r>
          </w:p>
          <w:p>
            <w:pPr>
              <w:pStyle w:val="null3"/>
            </w:pPr>
            <w:r>
              <w:rPr>
                <w:rFonts w:ascii="仿宋_GB2312" w:hAnsi="仿宋_GB2312" w:cs="仿宋_GB2312" w:eastAsia="仿宋_GB2312"/>
              </w:rPr>
              <w:t>《建筑装饰装修工程质量验收标准》（GB 50210）</w:t>
            </w:r>
          </w:p>
          <w:p>
            <w:pPr>
              <w:pStyle w:val="null3"/>
            </w:pPr>
            <w:r>
              <w:rPr>
                <w:rFonts w:ascii="仿宋_GB2312" w:hAnsi="仿宋_GB2312" w:cs="仿宋_GB2312" w:eastAsia="仿宋_GB2312"/>
              </w:rPr>
              <w:t>《给水排水构筑物工程施工及验收规范》（GB 50141）</w:t>
            </w:r>
          </w:p>
          <w:p>
            <w:pPr>
              <w:pStyle w:val="null3"/>
            </w:pPr>
            <w:r>
              <w:rPr>
                <w:rFonts w:ascii="仿宋_GB2312" w:hAnsi="仿宋_GB2312" w:cs="仿宋_GB2312" w:eastAsia="仿宋_GB2312"/>
              </w:rPr>
              <w:t>《公路桥涵施工技术规范》（JTG/T 3650）</w:t>
            </w:r>
          </w:p>
          <w:p>
            <w:pPr>
              <w:pStyle w:val="null3"/>
            </w:pPr>
            <w:r>
              <w:rPr>
                <w:rFonts w:ascii="仿宋_GB2312" w:hAnsi="仿宋_GB2312" w:cs="仿宋_GB2312" w:eastAsia="仿宋_GB2312"/>
              </w:rPr>
              <w:t>2.所有进场材料（如钢筋、水泥、砂石、装饰材料、管材、防水材料等）必须符合国家及行业相关标准，并提供出厂合格证、质量检验报告。</w:t>
            </w:r>
          </w:p>
          <w:p>
            <w:pPr>
              <w:pStyle w:val="null3"/>
            </w:pPr>
            <w:r>
              <w:rPr>
                <w:rFonts w:ascii="仿宋_GB2312" w:hAnsi="仿宋_GB2312" w:cs="仿宋_GB2312" w:eastAsia="仿宋_GB2312"/>
              </w:rPr>
              <w:t>3.蓄水池、清水池等水工构筑物的施工与加固，应符合设计及相关水利工程验收规范，确保其防渗、抗压及耐久性满足要求。完工后应进行满水试验，检验其严密性和稳定性。</w:t>
            </w:r>
          </w:p>
          <w:p>
            <w:pPr>
              <w:pStyle w:val="null3"/>
            </w:pPr>
            <w:r>
              <w:rPr>
                <w:rFonts w:ascii="仿宋_GB2312" w:hAnsi="仿宋_GB2312" w:cs="仿宋_GB2312" w:eastAsia="仿宋_GB2312"/>
              </w:rPr>
              <w:t>（二）服务标准</w:t>
            </w:r>
          </w:p>
          <w:p>
            <w:pPr>
              <w:pStyle w:val="null3"/>
            </w:pPr>
            <w:r>
              <w:rPr>
                <w:rFonts w:ascii="仿宋_GB2312" w:hAnsi="仿宋_GB2312" w:cs="仿宋_GB2312" w:eastAsia="仿宋_GB2312"/>
              </w:rPr>
              <w:t>1.响应机制：供应商应在接到项目通知后的24小时内做出响应，明确项目负责人及联系方式，确保沟通渠道畅通。</w:t>
            </w:r>
          </w:p>
          <w:p>
            <w:pPr>
              <w:pStyle w:val="null3"/>
            </w:pPr>
            <w:r>
              <w:rPr>
                <w:rFonts w:ascii="仿宋_GB2312" w:hAnsi="仿宋_GB2312" w:cs="仿宋_GB2312" w:eastAsia="仿宋_GB2312"/>
              </w:rPr>
              <w:t>2.进度汇报：在施工期间，项目负责人应每周至少向业主单位及监理单位书面汇报一次工程进度，内容包括已完成工作量、下周计划、存在的问题及拟解决方案。</w:t>
            </w:r>
          </w:p>
          <w:p>
            <w:pPr>
              <w:pStyle w:val="null3"/>
            </w:pPr>
            <w:r>
              <w:rPr>
                <w:rFonts w:ascii="仿宋_GB2312" w:hAnsi="仿宋_GB2312" w:cs="仿宋_GB2312" w:eastAsia="仿宋_GB2312"/>
              </w:rPr>
              <w:t>3.沟通协调：建立有效的沟通机制，参加由业主或监理单位组织的工程例会，及时协调解决施工中出现的各类问题。对于业主单位提出的合理意见和建议，应在3个工作日内给出书面答复及整改措施。</w:t>
            </w:r>
          </w:p>
          <w:p>
            <w:pPr>
              <w:pStyle w:val="null3"/>
            </w:pPr>
            <w:r>
              <w:rPr>
                <w:rFonts w:ascii="仿宋_GB2312" w:hAnsi="仿宋_GB2312" w:cs="仿宋_GB2312" w:eastAsia="仿宋_GB2312"/>
              </w:rPr>
              <w:t>4.应急处理：施工过程中若遇突发情况（如发现隐蔽结构问题、施工安全事故、影响供水的紧急情况等），供应商应立即通知业主单位和监理单位，并在24小时内提交详细的应急处理方案，同时采取有效措施确保人员及设施安全。</w:t>
            </w:r>
          </w:p>
          <w:p>
            <w:pPr>
              <w:pStyle w:val="null3"/>
            </w:pPr>
            <w:r>
              <w:rPr>
                <w:rFonts w:ascii="仿宋_GB2312" w:hAnsi="仿宋_GB2312" w:cs="仿宋_GB2312" w:eastAsia="仿宋_GB2312"/>
              </w:rPr>
              <w:t>（三）施工标准</w:t>
            </w:r>
          </w:p>
          <w:p>
            <w:pPr>
              <w:pStyle w:val="null3"/>
            </w:pPr>
            <w:r>
              <w:rPr>
                <w:rFonts w:ascii="仿宋_GB2312" w:hAnsi="仿宋_GB2312" w:cs="仿宋_GB2312" w:eastAsia="仿宋_GB2312"/>
              </w:rPr>
              <w:t>1.施工全过程需严格遵守《建设工程安全生产管理条例》及各项安全技术规程。</w:t>
            </w:r>
          </w:p>
          <w:p>
            <w:pPr>
              <w:pStyle w:val="null3"/>
            </w:pPr>
            <w:r>
              <w:rPr>
                <w:rFonts w:ascii="仿宋_GB2312" w:hAnsi="仿宋_GB2312" w:cs="仿宋_GB2312" w:eastAsia="仿宋_GB2312"/>
              </w:rPr>
              <w:t>2.拆除工程应采取有效措施控制扬尘、噪音，并对拆除物进行及时清运和合理处置。</w:t>
            </w:r>
          </w:p>
          <w:p>
            <w:pPr>
              <w:pStyle w:val="null3"/>
            </w:pPr>
            <w:r>
              <w:rPr>
                <w:rFonts w:ascii="仿宋_GB2312" w:hAnsi="仿宋_GB2312" w:cs="仿宋_GB2312" w:eastAsia="仿宋_GB2312"/>
              </w:rPr>
              <w:t>3.供应商在进场后，应立即对水厂内现有建筑、构筑物及设施的状况进行全面的影像和文字记录，形成书面报告，并经监理、业主单位共同签字确认。此报告将作为施工和验收的基准依据。</w:t>
            </w:r>
          </w:p>
          <w:p>
            <w:pPr>
              <w:pStyle w:val="null3"/>
            </w:pPr>
            <w:r>
              <w:rPr>
                <w:rFonts w:ascii="仿宋_GB2312" w:hAnsi="仿宋_GB2312" w:cs="仿宋_GB2312" w:eastAsia="仿宋_GB2312"/>
              </w:rPr>
              <w:t>4.石拱桥、交通桥及防护工程应严格按照设计图纸和相应桥梁施工规范进行，确保结构安全和使用功能。</w:t>
            </w:r>
          </w:p>
          <w:p>
            <w:pPr>
              <w:pStyle w:val="null3"/>
            </w:pPr>
            <w:r>
              <w:rPr>
                <w:rFonts w:ascii="仿宋_GB2312" w:hAnsi="仿宋_GB2312" w:cs="仿宋_GB2312" w:eastAsia="仿宋_GB2312"/>
              </w:rPr>
              <w:t>5.道路及给排水设施改造应保证坡度、标高、管材接口质量等符合设计要求，确保排水畅通。</w:t>
            </w:r>
          </w:p>
          <w:p>
            <w:pPr>
              <w:pStyle w:val="null3"/>
            </w:pPr>
            <w:r>
              <w:rPr>
                <w:rFonts w:ascii="仿宋_GB2312" w:hAnsi="仿宋_GB2312" w:cs="仿宋_GB2312" w:eastAsia="仿宋_GB2312"/>
              </w:rPr>
              <w:t>（四）施工工艺与质量要求</w:t>
            </w:r>
          </w:p>
          <w:p>
            <w:pPr>
              <w:pStyle w:val="null3"/>
            </w:pPr>
            <w:r>
              <w:rPr>
                <w:rFonts w:ascii="仿宋_GB2312" w:hAnsi="仿宋_GB2312" w:cs="仿宋_GB2312" w:eastAsia="仿宋_GB2312"/>
              </w:rPr>
              <w:t>1.建筑拆除与重建：</w:t>
            </w:r>
          </w:p>
          <w:p>
            <w:pPr>
              <w:pStyle w:val="null3"/>
            </w:pPr>
            <w:r>
              <w:rPr>
                <w:rFonts w:ascii="仿宋_GB2312" w:hAnsi="仿宋_GB2312" w:cs="仿宋_GB2312" w:eastAsia="仿宋_GB2312"/>
              </w:rPr>
              <w:t>拆除：采用机械与人工结合的方式，确保作业安全，并对可利用材料进行回收。建筑垃圾及时外运。</w:t>
            </w:r>
          </w:p>
          <w:p>
            <w:pPr>
              <w:pStyle w:val="null3"/>
            </w:pPr>
            <w:r>
              <w:rPr>
                <w:rFonts w:ascii="仿宋_GB2312" w:hAnsi="仿宋_GB2312" w:cs="仿宋_GB2312" w:eastAsia="仿宋_GB2312"/>
              </w:rPr>
              <w:t>重建：基础、主体结构、屋面、装饰装修等各分部分项工程须严格按照《建筑工程施工质量验收统一标准》（GB 50300）及相关专业验收规范执行。</w:t>
            </w:r>
          </w:p>
          <w:p>
            <w:pPr>
              <w:pStyle w:val="null3"/>
            </w:pPr>
            <w:r>
              <w:rPr>
                <w:rFonts w:ascii="仿宋_GB2312" w:hAnsi="仿宋_GB2312" w:cs="仿宋_GB2312" w:eastAsia="仿宋_GB2312"/>
              </w:rPr>
              <w:t>2.建筑改造加固与装饰：</w:t>
            </w:r>
          </w:p>
          <w:p>
            <w:pPr>
              <w:pStyle w:val="null3"/>
            </w:pPr>
            <w:r>
              <w:rPr>
                <w:rFonts w:ascii="仿宋_GB2312" w:hAnsi="仿宋_GB2312" w:cs="仿宋_GB2312" w:eastAsia="仿宋_GB2312"/>
              </w:rPr>
              <w:t>基层处理：对外墙原有饰面进行彻底清除，对基层进行清理、找平，必要时进行加固处理。</w:t>
            </w:r>
          </w:p>
          <w:p>
            <w:pPr>
              <w:pStyle w:val="null3"/>
            </w:pPr>
            <w:r>
              <w:rPr>
                <w:rFonts w:ascii="仿宋_GB2312" w:hAnsi="仿宋_GB2312" w:cs="仿宋_GB2312" w:eastAsia="仿宋_GB2312"/>
              </w:rPr>
              <w:t>装饰施工：按设计要求进行外墙装饰（如抹灰、涂饰、贴砖等），确保粘结牢固、表面平整、线条顺直、色泽均匀。</w:t>
            </w:r>
          </w:p>
          <w:p>
            <w:pPr>
              <w:pStyle w:val="null3"/>
            </w:pPr>
            <w:r>
              <w:rPr>
                <w:rFonts w:ascii="仿宋_GB2312" w:hAnsi="仿宋_GB2312" w:cs="仿宋_GB2312" w:eastAsia="仿宋_GB2312"/>
              </w:rPr>
              <w:t>3.水池工程：</w:t>
            </w:r>
          </w:p>
          <w:p>
            <w:pPr>
              <w:pStyle w:val="null3"/>
            </w:pPr>
            <w:r>
              <w:rPr>
                <w:rFonts w:ascii="仿宋_GB2312" w:hAnsi="仿宋_GB2312" w:cs="仿宋_GB2312" w:eastAsia="仿宋_GB2312"/>
              </w:rPr>
              <w:t>拆除重建：放线、开挖、地基处理、钢筋绑扎、模板支设、混凝土浇筑与养护等各环节须严格控制质量。重点控制混凝土的密实度和抗渗性能。</w:t>
            </w:r>
          </w:p>
          <w:p>
            <w:pPr>
              <w:pStyle w:val="null3"/>
            </w:pPr>
            <w:r>
              <w:rPr>
                <w:rFonts w:ascii="仿宋_GB2312" w:hAnsi="仿宋_GB2312" w:cs="仿宋_GB2312" w:eastAsia="仿宋_GB2312"/>
              </w:rPr>
              <w:t>改造加固：对原有清水池进行结构评估后，按设计采用增大截面、压力注浆、内衬等方式进行加固，恢复其使用功能。</w:t>
            </w:r>
          </w:p>
          <w:p>
            <w:pPr>
              <w:pStyle w:val="null3"/>
            </w:pPr>
            <w:r>
              <w:rPr>
                <w:rFonts w:ascii="仿宋_GB2312" w:hAnsi="仿宋_GB2312" w:cs="仿宋_GB2312" w:eastAsia="仿宋_GB2312"/>
              </w:rPr>
              <w:t>4.道路与桥梁工程：</w:t>
            </w:r>
          </w:p>
          <w:p>
            <w:pPr>
              <w:pStyle w:val="null3"/>
            </w:pPr>
            <w:r>
              <w:rPr>
                <w:rFonts w:ascii="仿宋_GB2312" w:hAnsi="仿宋_GB2312" w:cs="仿宋_GB2312" w:eastAsia="仿宋_GB2312"/>
              </w:rPr>
              <w:t>道路：路基应压实，垫层、面层材料及厚度应符合设计。</w:t>
            </w:r>
          </w:p>
          <w:p>
            <w:pPr>
              <w:pStyle w:val="null3"/>
            </w:pPr>
            <w:r>
              <w:rPr>
                <w:rFonts w:ascii="仿宋_GB2312" w:hAnsi="仿宋_GB2312" w:cs="仿宋_GB2312" w:eastAsia="仿宋_GB2312"/>
              </w:rPr>
              <w:t>桥梁：基础、桥台、拱圈砌筑或浇筑等关键工序须严格控制，确保线形、标高及结构强度。</w:t>
            </w:r>
          </w:p>
          <w:p>
            <w:pPr>
              <w:pStyle w:val="null3"/>
            </w:pPr>
            <w:r>
              <w:rPr>
                <w:rFonts w:ascii="仿宋_GB2312" w:hAnsi="仿宋_GB2312" w:cs="仿宋_GB2312" w:eastAsia="仿宋_GB2312"/>
              </w:rPr>
              <w:t>（五）安全技术要求</w:t>
            </w:r>
          </w:p>
          <w:p>
            <w:pPr>
              <w:pStyle w:val="null3"/>
            </w:pPr>
            <w:r>
              <w:rPr>
                <w:rFonts w:ascii="仿宋_GB2312" w:hAnsi="仿宋_GB2312" w:cs="仿宋_GB2312" w:eastAsia="仿宋_GB2312"/>
              </w:rPr>
              <w:t>1.严格遵守安全生产法规，在施工区域设置安全围挡和醒目的警示标志。</w:t>
            </w:r>
          </w:p>
          <w:p>
            <w:pPr>
              <w:pStyle w:val="null3"/>
            </w:pPr>
            <w:r>
              <w:rPr>
                <w:rFonts w:ascii="仿宋_GB2312" w:hAnsi="仿宋_GB2312" w:cs="仿宋_GB2312" w:eastAsia="仿宋_GB2312"/>
              </w:rPr>
              <w:t>2.施工人员必须佩戴安全防护用品，特种作业人员须持证上岗。</w:t>
            </w:r>
          </w:p>
          <w:p>
            <w:pPr>
              <w:pStyle w:val="null3"/>
            </w:pPr>
            <w:r>
              <w:rPr>
                <w:rFonts w:ascii="仿宋_GB2312" w:hAnsi="仿宋_GB2312" w:cs="仿宋_GB2312" w:eastAsia="仿宋_GB2312"/>
              </w:rPr>
              <w:t>3.对基坑开挖、高处作业、起重吊装等危险源制定专项施工方案并严格执行。</w:t>
            </w:r>
          </w:p>
          <w:p>
            <w:pPr>
              <w:pStyle w:val="null3"/>
            </w:pPr>
            <w:r>
              <w:rPr>
                <w:rFonts w:ascii="仿宋_GB2312" w:hAnsi="仿宋_GB2312" w:cs="仿宋_GB2312" w:eastAsia="仿宋_GB2312"/>
              </w:rPr>
              <w:t>4.制定触电、坍塌、火灾等应急预案，并组织演练。</w:t>
            </w:r>
          </w:p>
          <w:p>
            <w:pPr>
              <w:pStyle w:val="null3"/>
            </w:pPr>
            <w:r>
              <w:rPr>
                <w:rFonts w:ascii="仿宋_GB2312" w:hAnsi="仿宋_GB2312" w:cs="仿宋_GB2312" w:eastAsia="仿宋_GB2312"/>
              </w:rPr>
              <w:t>5.施工期间应制定措施，尽量减少对水厂正常运行和周边居民生产生活的影响。</w:t>
            </w:r>
          </w:p>
          <w:p>
            <w:pPr>
              <w:pStyle w:val="null3"/>
            </w:pPr>
            <w:r>
              <w:rPr>
                <w:rFonts w:ascii="仿宋_GB2312" w:hAnsi="仿宋_GB2312" w:cs="仿宋_GB2312" w:eastAsia="仿宋_GB2312"/>
              </w:rPr>
              <w:t>（六）对周边环境影响的控制技术要求</w:t>
            </w:r>
          </w:p>
          <w:p>
            <w:pPr>
              <w:pStyle w:val="null3"/>
            </w:pPr>
            <w:r>
              <w:rPr>
                <w:rFonts w:ascii="仿宋_GB2312" w:hAnsi="仿宋_GB2312" w:cs="仿宋_GB2312" w:eastAsia="仿宋_GB2312"/>
              </w:rPr>
              <w:t>1.采取洒水、覆盖、密闭运输等措施严格控制施工扬尘。</w:t>
            </w:r>
          </w:p>
          <w:p>
            <w:pPr>
              <w:pStyle w:val="null3"/>
            </w:pPr>
            <w:r>
              <w:rPr>
                <w:rFonts w:ascii="仿宋_GB2312" w:hAnsi="仿宋_GB2312" w:cs="仿宋_GB2312" w:eastAsia="仿宋_GB2312"/>
              </w:rPr>
              <w:t>2.合理安排高噪音作业时间，夜间施工需办理相关手续并公告周边。</w:t>
            </w:r>
          </w:p>
          <w:p>
            <w:pPr>
              <w:pStyle w:val="null3"/>
            </w:pPr>
            <w:r>
              <w:rPr>
                <w:rFonts w:ascii="仿宋_GB2312" w:hAnsi="仿宋_GB2312" w:cs="仿宋_GB2312" w:eastAsia="仿宋_GB2312"/>
              </w:rPr>
              <w:t>3.建筑垃圾与生活垃圾分类收集，及时清运至指定场所。</w:t>
            </w:r>
          </w:p>
          <w:p>
            <w:pPr>
              <w:pStyle w:val="null3"/>
            </w:pPr>
            <w:r>
              <w:rPr>
                <w:rFonts w:ascii="仿宋_GB2312" w:hAnsi="仿宋_GB2312" w:cs="仿宋_GB2312" w:eastAsia="仿宋_GB2312"/>
              </w:rPr>
              <w:t>4.采取措施防止施工对水体、土壤造成污染，保护好杜康沟生态环境。</w:t>
            </w:r>
          </w:p>
          <w:p>
            <w:pPr>
              <w:pStyle w:val="null3"/>
            </w:pPr>
            <w:r>
              <w:rPr>
                <w:rFonts w:ascii="仿宋_GB2312" w:hAnsi="仿宋_GB2312" w:cs="仿宋_GB2312" w:eastAsia="仿宋_GB2312"/>
              </w:rPr>
              <w:t>（七）工程量清单</w:t>
            </w:r>
            <w:r>
              <w:br/>
            </w:r>
            <w:r>
              <w:rPr>
                <w:rFonts w:ascii="仿宋_GB2312" w:hAnsi="仿宋_GB2312" w:cs="仿宋_GB2312" w:eastAsia="仿宋_GB2312"/>
              </w:rPr>
              <w:t xml:space="preserve">  1.本工程报价与结算必须严格依据采购人所发的《工程量清单》。</w:t>
            </w:r>
            <w:r>
              <w:br/>
            </w:r>
            <w:r>
              <w:rPr>
                <w:rFonts w:ascii="仿宋_GB2312" w:hAnsi="仿宋_GB2312" w:cs="仿宋_GB2312" w:eastAsia="仿宋_GB2312"/>
              </w:rPr>
              <w:t xml:space="preserve">  2.承包人须仔细复核清单项目特征、工作内容及计量规则。清单中未单独列项但为完成图纸所示工程不可或缺的所有工作内容及费用，均应视为已包含在相应清单项目综合单价中，发包人不再另行支付。</w:t>
            </w:r>
          </w:p>
          <w:p>
            <w:pPr>
              <w:pStyle w:val="null3"/>
            </w:pPr>
            <w:r>
              <w:rPr>
                <w:rFonts w:ascii="仿宋_GB2312" w:hAnsi="仿宋_GB2312" w:cs="仿宋_GB2312" w:eastAsia="仿宋_GB2312"/>
              </w:rPr>
              <w:t>3.投标人的已标价程量清单表格包括采购人所发的工程量清单表格外，还需提供以下表格，表格格式略，以水利计价软件生成为准：计日工项目报价表；工程单价汇总表；投标人生产电、风、水、砂石基础单价汇总表；投标人生产混凝土配合比材料费表；投标人自行采购主要材料预算价格汇总表；投标人自备施工机械台时(班)费汇总表；工程单价计算表；人工费单价汇总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（一）质量保修范围 本工程所有施工内容均在保修范围内，包括但不限于： 1.拆除重建的仓储房、设备房、蓄水池。 2.改造加固并装饰的办公楼、泵房、清水池。 3.新建的水厂围墙、道路、给排水设施、生产路、石拱桥及交通桥。 （二）保修期 1.本工程的质量保修期自竣工验收合格之日起计算。其中，地基基础工程和主体结构工程为设计文件规定的该工程的合理使用年限；屋面防水工程、有防水要求的卫生间、房间和外墙面的防渗漏为5年；电气管线、给排水管道、设备安装工程为2年；装修工程为2年；其他项目的保修期限由发包人与承包人在合同中约定。 2.在保修期内，供应商应承担以下责任和义务： 响应时间：接到业主单位通知后，应在24小时内响应，48小时内到达现场勘查。对于影响水厂正常运行或存在安全隐患的紧急情况，应在接到通知后立即响应，2小时内到达现场。 保修责任：对属于保修范围内的质量问题，供应商负责免费维修或更换，并承担所有费用。维修后应达到原设计及规范要求。 定期回访：在保修期内，供应商应每半年进行一次回访，检查工程状况，并做好记录。 损失赔偿：因施工质量缺陷造成损失的，供应商应承担相应的赔偿责任。</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商务要求：一、工期：自合同签订之日起90日历天内完成全部工程施工并达到验收条件。二、付款方式：1.开工前，采购人向成交供应商支付合同总价40%的工程预付款。2.工程竣工验收合格，出具验收证书，结算审定及双方无异议后，采购人支付合同总价的57%。3.剩余3%质量保证金，在质保期结束后一次付清。三、承包方式1.施工总承包2.承包人须对工程的质量、安全、工期、造价全面负责。3.承包人须自行解决施工所需的水、电、临时设施等。四、合同与履约1.保险：承包人须为工程投保建筑工程一切险和第三者责任险，并承担费用。施工人员意外伤害险按国家规定办理。2.变更与签证：供应商响应本合同包竞争性磋商文件第八章合同条款要求。3.违约责任：供应商响应本合同包竞争性磋商文件第八章合同条款要求。4.争议解决：供应商响应本合同包竞争性磋商文件第八章合同条款要求。5.其他条款：供应商响应本合同包竞争性磋商文件第八章合同条款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供应商需在项目电子化交易系统中按要求上传相应资格证明文件并进行电子签章；供应商需在项目电子化交易系统中按要求填写《响应函》完成承诺并进行电子签章。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中小企业。供应商提供了企业声明函原件，本项目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供应商代表身份</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授权代表身份证、授权代表本单位证明（在供应商单位近3个月内任意一个月缴纳的养老保险证明）。竞争性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提供有效存续的企业营业执照（含最新年度报告）；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供应商具备有效的建筑工程施工总承包二级及以上资质；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供应商拟派项目经理具备有效的建筑工程专业二级及以上建造师注册证书，并具备有效的安全生产考核合格证书（建安B证），提供无在建项目承诺；</w:t>
            </w:r>
          </w:p>
        </w:tc>
        <w:tc>
          <w:tcPr>
            <w:tcW w:type="dxa" w:w="1661"/>
          </w:tcPr>
          <w:p>
            <w:pPr>
              <w:pStyle w:val="null3"/>
            </w:pPr>
            <w:r>
              <w:rPr>
                <w:rFonts w:ascii="仿宋_GB2312" w:hAnsi="仿宋_GB2312" w:cs="仿宋_GB2312" w:eastAsia="仿宋_GB2312"/>
              </w:rPr>
              <w:t>拟投入本项目人员配置情况表.docx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响应文件截止时间不足一年的可提供成立后任意时段的资产负债表），或其响应文件递交截止之日前三个月内基本开户银行出具的资信证明，或信用担保机构出具的磋商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提供2025年1月1日至响应文件递交截止之日任意一个月的社会保障资金缴存单据或社保机构开具的社会保险参保缴费情况证明。依法不需要缴纳社会保障资金的供应商应提供相关证明文件；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响应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本合同包不接受联合体磋商、不允许分包</w:t>
            </w:r>
          </w:p>
        </w:tc>
        <w:tc>
          <w:tcPr>
            <w:tcW w:type="dxa" w:w="3322"/>
          </w:tcPr>
          <w:p>
            <w:pPr>
              <w:pStyle w:val="null3"/>
            </w:pPr>
            <w:r>
              <w:rPr>
                <w:rFonts w:ascii="仿宋_GB2312" w:hAnsi="仿宋_GB2312" w:cs="仿宋_GB2312" w:eastAsia="仿宋_GB2312"/>
              </w:rPr>
              <w:t>供应商提供《非联合体磋商不分包声明》，视为独立响应、不分包。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磋商文件签字盖章</w:t>
            </w:r>
          </w:p>
        </w:tc>
        <w:tc>
          <w:tcPr>
            <w:tcW w:type="dxa" w:w="3322"/>
          </w:tcPr>
          <w:p>
            <w:pPr>
              <w:pStyle w:val="null3"/>
            </w:pPr>
            <w:r>
              <w:rPr>
                <w:rFonts w:ascii="仿宋_GB2312" w:hAnsi="仿宋_GB2312" w:cs="仿宋_GB2312" w:eastAsia="仿宋_GB2312"/>
              </w:rPr>
              <w:t>响应文件签字盖章满足磋商文件的要求</w:t>
            </w:r>
          </w:p>
        </w:tc>
        <w:tc>
          <w:tcPr>
            <w:tcW w:type="dxa" w:w="1661"/>
          </w:tcPr>
          <w:p>
            <w:pPr>
              <w:pStyle w:val="null3"/>
            </w:pPr>
            <w:r>
              <w:rPr>
                <w:rFonts w:ascii="仿宋_GB2312" w:hAnsi="仿宋_GB2312" w:cs="仿宋_GB2312" w:eastAsia="仿宋_GB2312"/>
              </w:rPr>
              <w:t>响应文件封面 近年完成类似项目情况表.docx 已标价工程量清单 拟投入本项目人员配置情况表.docx 中小企业声明函 报价函 标的清单 技术服务合同条款及其他商务要求应答表 响应函 承诺函.docx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1.符合商务、技术要求，不存在重大负偏离；2.未附有采购人不能接受的条件；3.符合竞争性磋商文件规定的其他实质性要求；4.未违反《中华人民共和国政府采购法》和其他相关法律、法规的规定。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已标价工程量清单 技术服务合同条款及其他商务要求应答表 标的清单 承诺函.docx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一、评审内容：供应商2022年1月1日至响应文件递交截止之日具有类似项目已完成的施工业绩（以合同签订时间为准）。 二、评审标准：完整性（业绩证明材料须完整，包含中标通知书及施工合同）；真实性（证明材料清晰可辨并加盖公章）； 符合性（业绩数量及合同签订时间符合要求）。 三、赋分标准：每提供1个符合要求的业绩证明得1分，满分4分。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近年完成类似项目情况表.docx</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一、评审内容：项目部人员除项目经理外，配备施工员、质量员、安全员、材料员、资料员各1人，以及在满足基本要求基础上的人员增加情况。 二、评审标准：完整性（基本岗位人员配备齐全）；真实性（人员岗位证书清晰可辨并加盖公章）；符合性（人员数量及岗位配置符合要求）。 三、赋分标准：①基本配置得分：满足基本人员配置要求（5个指定岗位）得5分，每缺少1人扣1分，扣完为止；②人员储备加分：在满足基本要求的基础上，每增加1名持证项目部人员（岗位不限）加0.5分，最多加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拟投入机械设备配备</w:t>
            </w:r>
          </w:p>
        </w:tc>
        <w:tc>
          <w:tcPr>
            <w:tcW w:type="dxa" w:w="2492"/>
          </w:tcPr>
          <w:p>
            <w:pPr>
              <w:pStyle w:val="null3"/>
            </w:pPr>
            <w:r>
              <w:rPr>
                <w:rFonts w:ascii="仿宋_GB2312" w:hAnsi="仿宋_GB2312" w:cs="仿宋_GB2312" w:eastAsia="仿宋_GB2312"/>
              </w:rPr>
              <w:t>一、评审内容 供应商根据本项目工程量、施工难度及工期要求，拟投入的机械设备情况，包括： ①主要机械设备型号、数量、性能参数与技术先进性； ②机械设备进场计划与工期节点的匹配度； ③关键设备的备用方案及保障措施。 二、评审标准 合理性、充足性、保障性、与施工进度计划的契合度。 三、赋分标准 ①设备配置合理性(2分)：主要机械设备型号、数量、性能完全满足并优于施工需要，技术先进，得2分；基本满足，得1分；存在明显不足或落后，得0分。 ②进场计划匹配度(2分)：进场计划详尽，与施工进度计划关键节点高度契合，得2分；计划基本合理，得1分；计划模糊或严重脱节，得0分。 ③保障措施可靠性(1分)：关键设备有明确的备用或租赁渠道，维修保养体系完善，保障措施得力，得1分；无相关描述或措施不可靠，得0分。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1.拟投入机械设备配备.docx</w:t>
            </w:r>
          </w:p>
        </w:tc>
      </w:tr>
      <w:tr>
        <w:tc>
          <w:tcPr>
            <w:tcW w:type="dxa" w:w="831"/>
            <w:vMerge/>
          </w:tcPr>
          <w:p/>
        </w:tc>
        <w:tc>
          <w:tcPr>
            <w:tcW w:type="dxa" w:w="1661"/>
          </w:tcPr>
          <w:p>
            <w:pPr>
              <w:pStyle w:val="null3"/>
            </w:pPr>
            <w:r>
              <w:rPr>
                <w:rFonts w:ascii="仿宋_GB2312" w:hAnsi="仿宋_GB2312" w:cs="仿宋_GB2312" w:eastAsia="仿宋_GB2312"/>
              </w:rPr>
              <w:t>主要工程项目的施工方案、方法与技术措施</w:t>
            </w:r>
          </w:p>
        </w:tc>
        <w:tc>
          <w:tcPr>
            <w:tcW w:type="dxa" w:w="2492"/>
          </w:tcPr>
          <w:p>
            <w:pPr>
              <w:pStyle w:val="null3"/>
            </w:pPr>
            <w:r>
              <w:rPr>
                <w:rFonts w:ascii="仿宋_GB2312" w:hAnsi="仿宋_GB2312" w:cs="仿宋_GB2312" w:eastAsia="仿宋_GB2312"/>
              </w:rPr>
              <w:t>一、评审内容 供应商对项目核心、难点及特殊工序提出的具体施工方案与技术措施，包括： ①重点、难点工程的施工方法、工艺及技术保障； ②各主要分部分项工程的施工流程、工艺顺序和交叉作业安排； ③采用的新技术、新工艺、新材料、新设备的说明及可靠性论证。 二、评审标准 针对性、先进性、可行性、安全性、是否符合规范标准。 三、赋分标准 ①重点难点方案(7分)：方案针对性强，技术路线正确，措施具体可靠，能有效解决工程难点，得6-7分；方案基本可行，但深度不足，得3-5分；方案笼统、缺乏针对性或存在技术风险，得0-2分。 ②一般工序方案(5分)：流程清晰，工序衔接合理，符合施工逻辑和规范，得4-5分；流程基本完整，得2-3分；流程混乱或缺失关键工序，得0-1分。 ③四新技术应用(3分)：积极采用先进可靠的四新技术，有详细论证并能带来质量、工期或成本效益，得3分；有提及但论证不充分，得1-2分；未提及或应用不当，得0分。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2.主要工程项目的施工方案、方法与技术措施.docx</w:t>
            </w:r>
          </w:p>
        </w:tc>
      </w:tr>
      <w:tr>
        <w:tc>
          <w:tcPr>
            <w:tcW w:type="dxa" w:w="831"/>
            <w:vMerge/>
          </w:tcPr>
          <w:p/>
        </w:tc>
        <w:tc>
          <w:tcPr>
            <w:tcW w:type="dxa" w:w="1661"/>
          </w:tcPr>
          <w:p>
            <w:pPr>
              <w:pStyle w:val="null3"/>
            </w:pPr>
            <w:r>
              <w:rPr>
                <w:rFonts w:ascii="仿宋_GB2312" w:hAnsi="仿宋_GB2312" w:cs="仿宋_GB2312" w:eastAsia="仿宋_GB2312"/>
              </w:rPr>
              <w:t>工期保证体系及保证措施</w:t>
            </w:r>
          </w:p>
        </w:tc>
        <w:tc>
          <w:tcPr>
            <w:tcW w:type="dxa" w:w="2492"/>
          </w:tcPr>
          <w:p>
            <w:pPr>
              <w:pStyle w:val="null3"/>
            </w:pPr>
            <w:r>
              <w:rPr>
                <w:rFonts w:ascii="仿宋_GB2312" w:hAnsi="仿宋_GB2312" w:cs="仿宋_GB2312" w:eastAsia="仿宋_GB2312"/>
              </w:rPr>
              <w:t>一、评审内容 供应商为确保工期所建立的组织体系、管理方法和具体措施，包括： ①施工进度计划（横道图或网络图）的合理性、关键线路的清晰性； ②工期保证的组织体系、人员职责及动态管理制度； ③应对工期延误的预案及赶工措施。 二、评审标准 科学性、全面性、动态控制能力、抗风险能力。 三、赋分标准 ①进度计划科学性(3分)：计划编制科学，关键线路清晰，节点工期明确合理，得3分；计划基本完整，得2分；计划粗糙或逻辑错误，得0-1分。 ②保证体系健全性(2分)：体系健全，责任到人，有明确的进度检查、分析与调整制度，得2分；体系基本建立，得1分；体系不完善，得0分。 ③风险预案有效性(2分)：预案考虑周全，赶工措施具体、可行，得2分；有预案但措施空泛，得1分；无预案，得0分。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3.工期保证体系及保证措施.docx</w:t>
            </w:r>
          </w:p>
        </w:tc>
      </w:tr>
      <w:tr>
        <w:tc>
          <w:tcPr>
            <w:tcW w:type="dxa" w:w="831"/>
            <w:vMerge/>
          </w:tcPr>
          <w:p/>
        </w:tc>
        <w:tc>
          <w:tcPr>
            <w:tcW w:type="dxa" w:w="1661"/>
          </w:tcPr>
          <w:p>
            <w:pPr>
              <w:pStyle w:val="null3"/>
            </w:pPr>
            <w:r>
              <w:rPr>
                <w:rFonts w:ascii="仿宋_GB2312" w:hAnsi="仿宋_GB2312" w:cs="仿宋_GB2312" w:eastAsia="仿宋_GB2312"/>
              </w:rPr>
              <w:t>质量、安全保证体系及保证措施</w:t>
            </w:r>
          </w:p>
        </w:tc>
        <w:tc>
          <w:tcPr>
            <w:tcW w:type="dxa" w:w="2492"/>
          </w:tcPr>
          <w:p>
            <w:pPr>
              <w:pStyle w:val="null3"/>
            </w:pPr>
            <w:r>
              <w:rPr>
                <w:rFonts w:ascii="仿宋_GB2312" w:hAnsi="仿宋_GB2312" w:cs="仿宋_GB2312" w:eastAsia="仿宋_GB2312"/>
              </w:rPr>
              <w:t>一、评审内容 供应商为保障工程质量和施工安全所建立的体系与措施，包括： ①质量/安全管理组织机构、职责分工及保证体系框图； ②关键工序的质量控制点、检测方法、验收标准； ③危险源辨识、安全专项方案及文明施工措施。 二、评审标准 体系完整性、措施针对性、可操作性、符合法规。 三、赋分标准 ①保证体系完整性(4分)：机构健全，职责清晰，体系运行流程明确，得4分；基本完整，得2分；不完整，得0-1分。 ②质量控制措施(5分)：控制点设置准确，检测方法先进，标准明确，有创优目标和具体计划，得4-5分；措施基本到位，得2-3分；措施笼统，得0-1分。 ③安全与文明施工(4分)：危险源辨识全面，专项方案有针对性，安全投入、文明施工措施具体，得4分；措施基本符合要求，得2分；存在明显缺失，得0-1分。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4.质量、安全保证体系及保证措施.docx</w:t>
            </w:r>
          </w:p>
        </w:tc>
      </w:tr>
      <w:tr>
        <w:tc>
          <w:tcPr>
            <w:tcW w:type="dxa" w:w="831"/>
            <w:vMerge/>
          </w:tcPr>
          <w:p/>
        </w:tc>
        <w:tc>
          <w:tcPr>
            <w:tcW w:type="dxa" w:w="1661"/>
          </w:tcPr>
          <w:p>
            <w:pPr>
              <w:pStyle w:val="null3"/>
            </w:pPr>
            <w:r>
              <w:rPr>
                <w:rFonts w:ascii="仿宋_GB2312" w:hAnsi="仿宋_GB2312" w:cs="仿宋_GB2312" w:eastAsia="仿宋_GB2312"/>
              </w:rPr>
              <w:t>环境保护、文明施工保证体系及措施</w:t>
            </w:r>
          </w:p>
        </w:tc>
        <w:tc>
          <w:tcPr>
            <w:tcW w:type="dxa" w:w="2492"/>
          </w:tcPr>
          <w:p>
            <w:pPr>
              <w:pStyle w:val="null3"/>
            </w:pPr>
            <w:r>
              <w:rPr>
                <w:rFonts w:ascii="仿宋_GB2312" w:hAnsi="仿宋_GB2312" w:cs="仿宋_GB2312" w:eastAsia="仿宋_GB2312"/>
              </w:rPr>
              <w:t>一、评审内容 供应商为减少施工对环境影响及确保文明施工所采取的措施，包括： ①针对扬尘、噪音、水污染、固体废弃物等的具体环保措施； ②施工场地布置的合理性、规范围挡、标牌标识及卫生管理； ③与周边社区、交通的协调措施。 二、评审标准 合规性、有效性、人性化。 三、赋分标准 ①环保措施针对性(2分)：措施全面，符合并优于地方环保要求，有量化控制目标，得2分；措施基本齐全，得1分；措施不力，得0分。 ②文明施工现场管理(2分)：场地布置科学，围挡、标牌规范，环境整洁卫生，得2分；管理措施基本可行，得1分；描述不清，得0分。 ③内外协调措施(1分)：有详尽的交通组织、社区沟通方案，体现社会责任，得1分；无相关内容，得0分。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5.环境保护、文明施工保证体系及措施.docx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一、评审内容 供应商对项目全过程风险的识别、评估及应对能力，包括： ①对技术、管理、环境等方面的潜在风险进行系统识别与评估； ②针对各类重大风险的防范措施； ③事故应急响应流程、组织机构、救援物资及演练计划。 二、评审标准 全面性、预见性、可操作性。 三、赋分标准 ①风险识别全面性(2分)：风险识别全面，分类清晰，评估合理，得2分；识别基本全面，得1分；识别不全，得0分。 ②防范与应急措施(3分)：防范措施针对性强，应急预案响应等级清晰，职责明确，资源保障到位，得3分；措施较为空泛，预案基本完备，得1-2分；预案简陋或流于形式，得0分。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6.项目风险预测与防范、事故应急预案.docx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最终磋商报价得分 = (基准价／最终磋商报价) × 40 满足磋商文件要求且最终磋商报价最低的为基准价，其价格分为满分。其他磋商供应商的价格分统一按照上述公式计算。 （磋商小组认为供应商的最终报价明显低于其他通过符合性审查供应商的报价，有可能影响工程质量或者不能诚信履约的，应当在磋商现场提供书面说明及相关证明材料。供应商不能证明其报价合理性的，为无效磋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详见附件：近年完成类似项目情况表.docx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详见附件：1.拟投入机械设备配备.docx</w:t>
      </w:r>
    </w:p>
    <w:p>
      <w:pPr>
        <w:pStyle w:val="null3"/>
        <w:ind w:firstLine="960"/>
      </w:pPr>
      <w:r>
        <w:rPr>
          <w:rFonts w:ascii="仿宋_GB2312" w:hAnsi="仿宋_GB2312" w:cs="仿宋_GB2312" w:eastAsia="仿宋_GB2312"/>
        </w:rPr>
        <w:t>详见附件：2.主要工程项目的施工方案、方法与技术措施.docx</w:t>
      </w:r>
    </w:p>
    <w:p>
      <w:pPr>
        <w:pStyle w:val="null3"/>
        <w:ind w:firstLine="960"/>
      </w:pPr>
      <w:r>
        <w:rPr>
          <w:rFonts w:ascii="仿宋_GB2312" w:hAnsi="仿宋_GB2312" w:cs="仿宋_GB2312" w:eastAsia="仿宋_GB2312"/>
        </w:rPr>
        <w:t>详见附件：3.工期保证体系及保证措施.docx</w:t>
      </w:r>
    </w:p>
    <w:p>
      <w:pPr>
        <w:pStyle w:val="null3"/>
        <w:ind w:firstLine="960"/>
      </w:pPr>
      <w:r>
        <w:rPr>
          <w:rFonts w:ascii="仿宋_GB2312" w:hAnsi="仿宋_GB2312" w:cs="仿宋_GB2312" w:eastAsia="仿宋_GB2312"/>
        </w:rPr>
        <w:t>详见附件：4.质量、安全保证体系及保证措施.docx</w:t>
      </w:r>
    </w:p>
    <w:p>
      <w:pPr>
        <w:pStyle w:val="null3"/>
        <w:ind w:firstLine="960"/>
      </w:pPr>
      <w:r>
        <w:rPr>
          <w:rFonts w:ascii="仿宋_GB2312" w:hAnsi="仿宋_GB2312" w:cs="仿宋_GB2312" w:eastAsia="仿宋_GB2312"/>
        </w:rPr>
        <w:t>详见附件：5.环境保护、文明施工保证体系及措施.docx</w:t>
      </w:r>
    </w:p>
    <w:p>
      <w:pPr>
        <w:pStyle w:val="null3"/>
        <w:ind w:firstLine="960"/>
      </w:pPr>
      <w:r>
        <w:rPr>
          <w:rFonts w:ascii="仿宋_GB2312" w:hAnsi="仿宋_GB2312" w:cs="仿宋_GB2312" w:eastAsia="仿宋_GB2312"/>
        </w:rPr>
        <w:t>详见附件：6.项目风险预测与防范、事故应急预案.docx</w:t>
      </w:r>
    </w:p>
    <w:p>
      <w:pPr>
        <w:pStyle w:val="null3"/>
        <w:ind w:firstLine="960"/>
      </w:pPr>
      <w:r>
        <w:rPr>
          <w:rFonts w:ascii="仿宋_GB2312" w:hAnsi="仿宋_GB2312" w:cs="仿宋_GB2312" w:eastAsia="仿宋_GB2312"/>
        </w:rPr>
        <w:t>详见附件：承诺函.docx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详见附件：水利工程施工合同书.docx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