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版本号：PTZX-2025-ZC03320251218001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白水县农业信息化建设项目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PTZX-2025-ZC033</w:t>
      </w:r>
      <w:r>
        <w:br/>
      </w:r>
      <w:r>
        <w:br/>
      </w:r>
      <w:r>
        <w:br/>
      </w:r>
    </w:p>
    <w:p>
      <w:pPr>
        <w:pStyle w:val="null3"/>
        <w:jc w:val="center"/>
        <w:outlineLvl w:val="2"/>
      </w:pPr>
      <w:r>
        <w:rPr>
          <w:rFonts w:ascii="仿宋_GB2312" w:hAnsi="仿宋_GB2312" w:cs="仿宋_GB2312" w:eastAsia="仿宋_GB2312"/>
          <w:sz w:val="28"/>
          <w:b/>
        </w:rPr>
        <w:t>白水县农业农村局</w:t>
      </w:r>
    </w:p>
    <w:p>
      <w:pPr>
        <w:pStyle w:val="null3"/>
        <w:jc w:val="center"/>
        <w:outlineLvl w:val="2"/>
      </w:pPr>
      <w:r>
        <w:rPr>
          <w:rFonts w:ascii="仿宋_GB2312" w:hAnsi="仿宋_GB2312" w:cs="仿宋_GB2312" w:eastAsia="仿宋_GB2312"/>
          <w:sz w:val="28"/>
          <w:b/>
        </w:rPr>
        <w:t>鹏泰（陕西）项目管理咨询有限责任公司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鹏泰（陕西）项目管理咨询有限责任公司</w:t>
      </w:r>
      <w:r>
        <w:rPr>
          <w:rFonts w:ascii="仿宋_GB2312" w:hAnsi="仿宋_GB2312" w:cs="仿宋_GB2312" w:eastAsia="仿宋_GB2312"/>
        </w:rPr>
        <w:t>（以下简称“代理机构”）受</w:t>
      </w:r>
      <w:r>
        <w:rPr>
          <w:rFonts w:ascii="仿宋_GB2312" w:hAnsi="仿宋_GB2312" w:cs="仿宋_GB2312" w:eastAsia="仿宋_GB2312"/>
        </w:rPr>
        <w:t>白水县农业农村局</w:t>
      </w:r>
      <w:r>
        <w:rPr>
          <w:rFonts w:ascii="仿宋_GB2312" w:hAnsi="仿宋_GB2312" w:cs="仿宋_GB2312" w:eastAsia="仿宋_GB2312"/>
        </w:rPr>
        <w:t>委托，拟对</w:t>
      </w:r>
      <w:r>
        <w:rPr>
          <w:rFonts w:ascii="仿宋_GB2312" w:hAnsi="仿宋_GB2312" w:cs="仿宋_GB2312" w:eastAsia="仿宋_GB2312"/>
        </w:rPr>
        <w:t>白水县农业信息化建设项目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PTZX-2025-ZC033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白水县农业信息化建设项目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项目内容：智能终端购置，购置农资门店智能终端128套。基于现有陕西省农业投入品监管系统，在我县农资经营门店开展农业投入品动态监管预警与信息服务工作整市推进试点工作。围绕农药、兽药、种子、肥料等生产资料经营销售监管需求，选择基础条件好、经营稳定、已接入互联网、经营人员具备基本电脑操作技能且有安装意愿的农资门店，配置相关设备，对接省农业农村大数据中心，开展农业投入品监管预警应用，实现农业投入品与农产品质量安全的双向追溯，提高我县农业数字化监管水平。2、项目服务地点：采购人指定地点；3、服务期限：30日历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采购包1（白水县农业信息化建设项目）：属于专门面向中小企业采购。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有独立承担民事责任的能力且具备向采购人提供相关服务的企业法人、事业法人、其他组织或自然人：企业法人应提供具有统一社会信用代码的营业执照证明文件；事业法人应提供事业单位法人证、组织机构代码证等证明文件；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被授权人须本单位在职人员，并提供供应商单位近3个月内任意一个月缴纳的养老保险证明；供应商需在项目电子化交易系统中按要求上传相应证明文件并进行电子签章。</w:t>
      </w:r>
    </w:p>
    <w:p>
      <w:pPr>
        <w:pStyle w:val="null3"/>
      </w:pPr>
      <w:r>
        <w:rPr>
          <w:rFonts w:ascii="仿宋_GB2312" w:hAnsi="仿宋_GB2312" w:cs="仿宋_GB2312" w:eastAsia="仿宋_GB2312"/>
        </w:rPr>
        <w:t>3、提供2024年度的财务审计报告：提供2024年度的财务审计报告（至少包括资产负债表和利润表，成立时间至提交响应文件截止时间不足一年的可提供成立后任意时段的资产负债表）或开标时间前六个月内银行出具的资信证明；供应商需在项目电子化交易系统中按要求上传相应证明文件并进行电子签章。</w:t>
      </w:r>
    </w:p>
    <w:p>
      <w:pPr>
        <w:pStyle w:val="null3"/>
      </w:pPr>
      <w:r>
        <w:rPr>
          <w:rFonts w:ascii="仿宋_GB2312" w:hAnsi="仿宋_GB2312" w:cs="仿宋_GB2312" w:eastAsia="仿宋_GB2312"/>
        </w:rPr>
        <w:t>4、税收缴纳证明：提供投标截止日前近一年内任意一个月的纳税证明或完税证明（任意税种），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社会保障资金缴纳证明：提供投标截止日前近一年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6、专业技术能力的说明及承诺书：提供具有履行本合同所必需的设备和专业技术能力的说明及承诺书；供应商需在项目电子化交易系统中按要求上传相应证明文件并进行电子签章。</w:t>
      </w:r>
    </w:p>
    <w:p>
      <w:pPr>
        <w:pStyle w:val="null3"/>
      </w:pPr>
      <w:r>
        <w:rPr>
          <w:rFonts w:ascii="仿宋_GB2312" w:hAnsi="仿宋_GB2312" w:cs="仿宋_GB2312" w:eastAsia="仿宋_GB2312"/>
        </w:rPr>
        <w:t>7、企业信用：供应商未被“信用中国”网站（www.creditchina.gov.cn）列入失信被执行人（页面跳转至“中国执行信息公开网”http://zxgk.court.gov.cn/shixin/）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8、无违法情况说明：参加政府采购活动前3年内，在经营活动中没有重大违法记录的书面声明；供应商需在项目电子化交易系统中按要求上传相应证明文件并进行电子签章。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9、不接受联合体投标：本项目不接受联合体投标（提供承诺书）；供应商需在项目电子化交易系统中按要求上传相应证明文件并进行电子签章。</w:t>
      </w:r>
    </w:p>
    <w:p>
      <w:pPr>
        <w:pStyle w:val="null3"/>
      </w:pPr>
      <w:r>
        <w:rPr>
          <w:rFonts w:ascii="仿宋_GB2312" w:hAnsi="仿宋_GB2312" w:cs="仿宋_GB2312" w:eastAsia="仿宋_GB2312"/>
        </w:rPr>
        <w:t>10、专门面向中小企业采购：中小企业说明；供应商需在项目电子化交易系统中按要求上传相应证明文件并进行电子签章。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白水县农业农村局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白水县雷公路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潘斌会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13572329085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鹏泰（陕西）项目管理咨询有限责任公司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陕西省西安市莲湖区陕西省西安市莲湖区龙首北路西段11号甘肃省离休干部西安休养所东9栋202室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19929278073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13991639110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开户名称：鹏泰（陕西）项目管理咨询有限责任公司</w:t>
            </w:r>
          </w:p>
          <w:p>
            <w:pPr>
              <w:pStyle w:val="null3"/>
            </w:pPr>
            <w:r>
              <w:rPr>
                <w:rFonts w:ascii="仿宋_GB2312" w:hAnsi="仿宋_GB2312" w:cs="仿宋_GB2312" w:eastAsia="仿宋_GB2312"/>
              </w:rPr>
              <w:t>开户银行：中国建设银行股份有限公司西安元朔路支行</w:t>
            </w:r>
          </w:p>
          <w:p>
            <w:pPr>
              <w:pStyle w:val="null3"/>
            </w:pPr>
            <w:r>
              <w:rPr>
                <w:rFonts w:ascii="仿宋_GB2312" w:hAnsi="仿宋_GB2312" w:cs="仿宋_GB2312" w:eastAsia="仿宋_GB2312"/>
              </w:rPr>
              <w:t>银行账号：6105 0111 7695 0000 0789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人与采购代理机构约定，参照国家计委关于《招标代理服务收费管理暂行办法》（计价格〔2002〕1980号）、《国家发展改革委关于降低部分建设项目收费标准规范收费行为等有关问题的通知》（发改价格〔2011〕534号），以成交价为基数计算，按标准的100%收取。根据“财库[2018]2号-财政部关于印发《政府采购代理机构管理暂行办法》的通知”第十五条规定，双方约定代理服务费由成交供应商支付，领取成交通知书时一次性付清。收款单位：鹏泰(陕西)项目管理咨询有限责任公司 开 户 行：中国建设银行股份有限公司西安凤城八路支行 账 号：6105017178000 0000926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白水县农业农村局</w:t>
      </w:r>
      <w:r>
        <w:rPr>
          <w:rFonts w:ascii="仿宋_GB2312" w:hAnsi="仿宋_GB2312" w:cs="仿宋_GB2312" w:eastAsia="仿宋_GB2312"/>
        </w:rPr>
        <w:t>和</w:t>
      </w:r>
      <w:r>
        <w:rPr>
          <w:rFonts w:ascii="仿宋_GB2312" w:hAnsi="仿宋_GB2312" w:cs="仿宋_GB2312" w:eastAsia="仿宋_GB2312"/>
        </w:rPr>
        <w:t>鹏泰（陕西）项目管理咨询有限责任公司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白水县农业农村局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鹏泰（陕西）项目管理咨询有限责任公司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白水县农业农村局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鹏泰（陕西）项目管理咨询有限责任公司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国家、省市相关规范、其他相关专业现行规范及采购文件要求。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鹏泰（陕西）项目管理咨询有限责任公司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鹏泰（陕西）项目管理咨询有限责任公司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鹏泰（陕西）项目管理咨询有限责任公司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联系人：杨蕾</w:t>
      </w:r>
    </w:p>
    <w:p>
      <w:pPr>
        <w:pStyle w:val="null3"/>
      </w:pPr>
      <w:r>
        <w:rPr>
          <w:rFonts w:ascii="仿宋_GB2312" w:hAnsi="仿宋_GB2312" w:cs="仿宋_GB2312" w:eastAsia="仿宋_GB2312"/>
        </w:rPr>
        <w:t>联系电话：19929278073</w:t>
      </w:r>
    </w:p>
    <w:p>
      <w:pPr>
        <w:pStyle w:val="null3"/>
      </w:pPr>
      <w:r>
        <w:rPr>
          <w:rFonts w:ascii="仿宋_GB2312" w:hAnsi="仿宋_GB2312" w:cs="仿宋_GB2312" w:eastAsia="仿宋_GB2312"/>
        </w:rPr>
        <w:t>地址：西安市未央区北二环正荣天寓8号楼2单元1216室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项目内容：智能终端购置，购置农资门店智能终端128套。基于现有陕西省农业投入品监管系统，在我县农资经营门店开展农业投入品动态监管预警与信息服务工作整市推进试点工作。围绕农药、兽药、种子、肥料等生产资料经营销售监管需求，选择基础条件好、经营稳定、已接入互联网、经营人员具备基本电脑操作技能且有安装意愿的农资门店，配置相关设备，对接省农业农村大数据中心，开展农业投入品监管预警应用，实现农业投入品与农产品质量安全的双向追溯，提高我县农业数字化监管水平。2、项目服务地点：采购人指定地点；3、服务期限：30日历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544,000.00</w:t>
      </w:r>
    </w:p>
    <w:p>
      <w:pPr>
        <w:pStyle w:val="null3"/>
      </w:pPr>
      <w:r>
        <w:rPr>
          <w:rFonts w:ascii="仿宋_GB2312" w:hAnsi="仿宋_GB2312" w:cs="仿宋_GB2312" w:eastAsia="仿宋_GB2312"/>
        </w:rPr>
        <w:t>采购包最高限价（元）: 544,000.00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 白水县农业信息化建设项目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 白水县农业信息化建设项目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85"/>
              <w:gridCol w:w="108"/>
              <w:gridCol w:w="194"/>
              <w:gridCol w:w="194"/>
              <w:gridCol w:w="1771"/>
            </w:tblGrid>
            <w:tr>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序号</w:t>
                  </w:r>
                </w:p>
              </w:tc>
              <w:tc>
                <w:tcPr>
                  <w:tcW w:type="dxa" w:w="2267"/>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技术参数与性能指标</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项目概况及总体要求</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白水县农业信息化建设项目</w:t>
                  </w:r>
                  <w:r>
                    <w:rPr>
                      <w:rFonts w:ascii="仿宋_GB2312" w:hAnsi="仿宋_GB2312" w:cs="仿宋_GB2312" w:eastAsia="仿宋_GB2312"/>
                      <w:sz w:val="21"/>
                    </w:rPr>
                    <w:t>，本采购项目内容包含农资门店智能终端设备购置服务、设备数据归集、安装部署与网络调试等服务内容。</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采购内容</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智能终端购置：购置农资门店智能终端</w:t>
                  </w:r>
                  <w:r>
                    <w:rPr>
                      <w:rFonts w:ascii="仿宋_GB2312" w:hAnsi="仿宋_GB2312" w:cs="仿宋_GB2312" w:eastAsia="仿宋_GB2312"/>
                      <w:sz w:val="21"/>
                    </w:rPr>
                    <w:t>128</w:t>
                  </w:r>
                  <w:r>
                    <w:rPr>
                      <w:rFonts w:ascii="仿宋_GB2312" w:hAnsi="仿宋_GB2312" w:cs="仿宋_GB2312" w:eastAsia="仿宋_GB2312"/>
                      <w:sz w:val="21"/>
                    </w:rPr>
                    <w:t>套。</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数据归集、安装部署与网络调试：开展智能终端的安装部署与网络调试，保障农业投入品系统的落地应用。</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数据对接：保障设备采集数据与陕西省农业农村大数据中心互联互通。</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项目培训与售后服务：按照集中培训和上门培训的方式，对门店进行培训服务。项目验收完成后，提供三年的售后服务。</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建设要求</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基于现有陕西省农业投入品监管系统，在我</w:t>
                  </w:r>
                  <w:r>
                    <w:rPr>
                      <w:rFonts w:ascii="仿宋_GB2312" w:hAnsi="仿宋_GB2312" w:cs="仿宋_GB2312" w:eastAsia="仿宋_GB2312"/>
                      <w:sz w:val="21"/>
                    </w:rPr>
                    <w:t>县</w:t>
                  </w:r>
                  <w:r>
                    <w:rPr>
                      <w:rFonts w:ascii="仿宋_GB2312" w:hAnsi="仿宋_GB2312" w:cs="仿宋_GB2312" w:eastAsia="仿宋_GB2312"/>
                      <w:sz w:val="21"/>
                    </w:rPr>
                    <w:t>农资经营门店开展农业投入品动态监管预警与信息服务工作整市推进试点工作。</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围绕农药、兽药、种子、肥料等生产资料经营销售监管需求，选择基础条件好、经营稳定、已接入互联网、经营人员具备基本电脑操作技能且有安装意愿的农资门店，配置相关设备，对接省农业农村大数据中心，开展农业投入品监管预警应用，实现农业投入品与农产品质量安全的双向追溯，提高我</w:t>
                  </w:r>
                  <w:r>
                    <w:rPr>
                      <w:rFonts w:ascii="仿宋_GB2312" w:hAnsi="仿宋_GB2312" w:cs="仿宋_GB2312" w:eastAsia="仿宋_GB2312"/>
                      <w:sz w:val="21"/>
                    </w:rPr>
                    <w:t>县</w:t>
                  </w:r>
                  <w:r>
                    <w:rPr>
                      <w:rFonts w:ascii="仿宋_GB2312" w:hAnsi="仿宋_GB2312" w:cs="仿宋_GB2312" w:eastAsia="仿宋_GB2312"/>
                      <w:sz w:val="21"/>
                    </w:rPr>
                    <w:t>农业数字化监管水平。</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农资门店智能终端购置</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购置通用的</w:t>
                  </w:r>
                  <w:r>
                    <w:rPr>
                      <w:rFonts w:ascii="仿宋_GB2312" w:hAnsi="仿宋_GB2312" w:cs="仿宋_GB2312" w:eastAsia="仿宋_GB2312"/>
                      <w:sz w:val="21"/>
                    </w:rPr>
                    <w:t>“</w:t>
                  </w:r>
                  <w:r>
                    <w:rPr>
                      <w:rFonts w:ascii="仿宋_GB2312" w:hAnsi="仿宋_GB2312" w:cs="仿宋_GB2312" w:eastAsia="仿宋_GB2312"/>
                      <w:sz w:val="21"/>
                    </w:rPr>
                    <w:t xml:space="preserve">农业投入品监管系统 </w:t>
                  </w:r>
                  <w:r>
                    <w:rPr>
                      <w:rFonts w:ascii="仿宋_GB2312" w:hAnsi="仿宋_GB2312" w:cs="仿宋_GB2312" w:eastAsia="仿宋_GB2312"/>
                      <w:sz w:val="21"/>
                    </w:rPr>
                    <w:t>”</w:t>
                  </w:r>
                  <w:r>
                    <w:rPr>
                      <w:rFonts w:ascii="仿宋_GB2312" w:hAnsi="仿宋_GB2312" w:cs="仿宋_GB2312" w:eastAsia="仿宋_GB2312"/>
                      <w:sz w:val="21"/>
                    </w:rPr>
                    <w:t>信息采集智能终端。实现白水县</w:t>
                  </w:r>
                  <w:r>
                    <w:rPr>
                      <w:rFonts w:ascii="仿宋_GB2312" w:hAnsi="仿宋_GB2312" w:cs="仿宋_GB2312" w:eastAsia="仿宋_GB2312"/>
                      <w:sz w:val="21"/>
                    </w:rPr>
                    <w:t>128</w:t>
                  </w:r>
                  <w:r>
                    <w:rPr>
                      <w:rFonts w:ascii="仿宋_GB2312" w:hAnsi="仿宋_GB2312" w:cs="仿宋_GB2312" w:eastAsia="仿宋_GB2312"/>
                      <w:sz w:val="21"/>
                    </w:rPr>
                    <w:t>家农资门店全覆盖，全方位采集农业投入品购买和使用记录。智能终端应包括销售一体机设备、扫码设备、身份读取设备、票据打印设备、人像采集设备等功能设备，支持二维码扫描、影像数据采集、销售记录打印等门店信息数据源头梳理，实现整</w:t>
                  </w:r>
                  <w:r>
                    <w:rPr>
                      <w:rFonts w:ascii="仿宋_GB2312" w:hAnsi="仿宋_GB2312" w:cs="仿宋_GB2312" w:eastAsia="仿宋_GB2312"/>
                      <w:sz w:val="21"/>
                    </w:rPr>
                    <w:t>县</w:t>
                  </w:r>
                  <w:r>
                    <w:rPr>
                      <w:rFonts w:ascii="仿宋_GB2312" w:hAnsi="仿宋_GB2312" w:cs="仿宋_GB2312" w:eastAsia="仿宋_GB2312"/>
                      <w:sz w:val="21"/>
                    </w:rPr>
                    <w:t>农业投入品监管的扫码识别和进销存应用全覆盖。</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网络调试与数据归集</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对上述已安装设备接入互联网进行调试，实现与省农业农村大数据中心的对接，保障农业投入品监管系统与管理终端采集的各项数据能够实时上传。</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培训与系统维护</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安装设备并完成调试的同时对农资门店经营人员进行现场培训，确保其能正常使用配备的设备，正常采集数据，上传数据。对使用系统的县级行业管理单位进行集中培训。对发生故障的设备及时进行维修，对因经营不善等原因需要退出的农资门店及时调整更换设备到新的农资门店。</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智能终端参数要求</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终端设备应具备农资扫码出入库、农资销售实时登记、农资实时备案、农户实名制匹配建档、农药处方在线开具、挂账、退换货等功能。设备管理系统应具备各类报表汇总、查看功能，包括且不限于库存信息、出入库信息、建档人员信息、订单总量、销售额、农资登记总量等。设备应具备与省级平台互联互通能力，能实现农户人像档案库自动在线识别分析、农资入库与登记备案库实时在线比对等功能，具备数据对外共享报送能力。设备支持与手机端的应用的互联互通，通过手机端进行产品出入库、农资销售实时登记等数据实现与智能终端设备的实时共享。</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智能终端设备硬件要求如下：</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3.4.1</w:t>
                  </w:r>
                  <w:r>
                    <w:rPr>
                      <w:rFonts w:ascii="仿宋_GB2312" w:hAnsi="仿宋_GB2312" w:cs="仿宋_GB2312" w:eastAsia="仿宋_GB2312"/>
                      <w:sz w:val="21"/>
                    </w:rPr>
                    <w:t>销售一体机设备（核心产品）。要求为双屏显示销售一体机，参数要求：主屏不低于</w:t>
                  </w:r>
                  <w:r>
                    <w:rPr>
                      <w:rFonts w:ascii="仿宋_GB2312" w:hAnsi="仿宋_GB2312" w:cs="仿宋_GB2312" w:eastAsia="仿宋_GB2312"/>
                      <w:sz w:val="21"/>
                    </w:rPr>
                    <w:t>12.1"HD</w:t>
                  </w:r>
                  <w:r>
                    <w:rPr>
                      <w:rFonts w:ascii="仿宋_GB2312" w:hAnsi="仿宋_GB2312" w:cs="仿宋_GB2312" w:eastAsia="仿宋_GB2312"/>
                      <w:sz w:val="21"/>
                    </w:rPr>
                    <w:t xml:space="preserve">，客显不低于 </w:t>
                  </w:r>
                  <w:r>
                    <w:rPr>
                      <w:rFonts w:ascii="仿宋_GB2312" w:hAnsi="仿宋_GB2312" w:cs="仿宋_GB2312" w:eastAsia="仿宋_GB2312"/>
                      <w:sz w:val="21"/>
                    </w:rPr>
                    <w:t>10.1" HD</w:t>
                  </w:r>
                  <w:r>
                    <w:rPr>
                      <w:rFonts w:ascii="仿宋_GB2312" w:hAnsi="仿宋_GB2312" w:cs="仿宋_GB2312" w:eastAsia="仿宋_GB2312"/>
                      <w:sz w:val="21"/>
                    </w:rPr>
                    <w:t xml:space="preserve">；处理器不低于 </w:t>
                  </w:r>
                  <w:r>
                    <w:rPr>
                      <w:rFonts w:ascii="仿宋_GB2312" w:hAnsi="仿宋_GB2312" w:cs="仿宋_GB2312" w:eastAsia="仿宋_GB2312"/>
                      <w:sz w:val="21"/>
                    </w:rPr>
                    <w:t xml:space="preserve">4 </w:t>
                  </w:r>
                  <w:r>
                    <w:rPr>
                      <w:rFonts w:ascii="仿宋_GB2312" w:hAnsi="仿宋_GB2312" w:cs="仿宋_GB2312" w:eastAsia="仿宋_GB2312"/>
                      <w:sz w:val="21"/>
                    </w:rPr>
                    <w:t xml:space="preserve">核 </w:t>
                  </w:r>
                  <w:r>
                    <w:rPr>
                      <w:rFonts w:ascii="仿宋_GB2312" w:hAnsi="仿宋_GB2312" w:cs="仿宋_GB2312" w:eastAsia="仿宋_GB2312"/>
                      <w:sz w:val="21"/>
                    </w:rPr>
                    <w:t>2.0GHz</w:t>
                  </w:r>
                  <w:r>
                    <w:rPr>
                      <w:rFonts w:ascii="仿宋_GB2312" w:hAnsi="仿宋_GB2312" w:cs="仿宋_GB2312" w:eastAsia="仿宋_GB2312"/>
                      <w:sz w:val="21"/>
                    </w:rPr>
                    <w:t>；存储器不低于</w:t>
                  </w:r>
                  <w:r>
                    <w:rPr>
                      <w:rFonts w:ascii="仿宋_GB2312" w:hAnsi="仿宋_GB2312" w:cs="仿宋_GB2312" w:eastAsia="仿宋_GB2312"/>
                      <w:sz w:val="21"/>
                    </w:rPr>
                    <w:t>3GB RAM+32GB ROM</w:t>
                  </w:r>
                  <w:r>
                    <w:rPr>
                      <w:rFonts w:ascii="仿宋_GB2312" w:hAnsi="仿宋_GB2312" w:cs="仿宋_GB2312" w:eastAsia="仿宋_GB2312"/>
                      <w:sz w:val="21"/>
                    </w:rPr>
                    <w:t>；触摸屏支持电容多点触摸；</w:t>
                  </w:r>
                  <w:r>
                    <w:rPr>
                      <w:rFonts w:ascii="仿宋_GB2312" w:hAnsi="仿宋_GB2312" w:cs="仿宋_GB2312" w:eastAsia="仿宋_GB2312"/>
                      <w:sz w:val="21"/>
                    </w:rPr>
                    <w:t>Wi-Fi</w:t>
                  </w:r>
                  <w:r>
                    <w:rPr>
                      <w:rFonts w:ascii="仿宋_GB2312" w:hAnsi="仿宋_GB2312" w:cs="仿宋_GB2312" w:eastAsia="仿宋_GB2312"/>
                      <w:sz w:val="21"/>
                    </w:rPr>
                    <w:t>（</w:t>
                  </w:r>
                  <w:r>
                    <w:rPr>
                      <w:rFonts w:ascii="仿宋_GB2312" w:hAnsi="仿宋_GB2312" w:cs="仿宋_GB2312" w:eastAsia="仿宋_GB2312"/>
                      <w:sz w:val="21"/>
                    </w:rPr>
                    <w:t>2.4GHz</w:t>
                  </w:r>
                  <w:r>
                    <w:rPr>
                      <w:rFonts w:ascii="仿宋_GB2312" w:hAnsi="仿宋_GB2312" w:cs="仿宋_GB2312" w:eastAsia="仿宋_GB2312"/>
                      <w:sz w:val="21"/>
                    </w:rPr>
                    <w:t xml:space="preserve">）支持 </w:t>
                  </w:r>
                  <w:r>
                    <w:rPr>
                      <w:rFonts w:ascii="仿宋_GB2312" w:hAnsi="仿宋_GB2312" w:cs="仿宋_GB2312" w:eastAsia="仿宋_GB2312"/>
                      <w:sz w:val="21"/>
                    </w:rPr>
                    <w:t>IEEE 802.11 b/g/n</w:t>
                  </w:r>
                  <w:r>
                    <w:rPr>
                      <w:rFonts w:ascii="仿宋_GB2312" w:hAnsi="仿宋_GB2312" w:cs="仿宋_GB2312" w:eastAsia="仿宋_GB2312"/>
                      <w:sz w:val="21"/>
                    </w:rPr>
                    <w:t>协议；具备蓝牙功能，</w:t>
                  </w:r>
                  <w:r>
                    <w:rPr>
                      <w:rFonts w:ascii="仿宋_GB2312" w:hAnsi="仿宋_GB2312" w:cs="仿宋_GB2312" w:eastAsia="仿宋_GB2312"/>
                      <w:sz w:val="21"/>
                    </w:rPr>
                    <w:t>BT 2.1/3.0/4.0/4.2/5.0</w:t>
                  </w:r>
                  <w:r>
                    <w:rPr>
                      <w:rFonts w:ascii="仿宋_GB2312" w:hAnsi="仿宋_GB2312" w:cs="仿宋_GB2312" w:eastAsia="仿宋_GB2312"/>
                      <w:sz w:val="21"/>
                    </w:rPr>
                    <w:t xml:space="preserve">；外部 </w:t>
                  </w:r>
                  <w:r>
                    <w:rPr>
                      <w:rFonts w:ascii="仿宋_GB2312" w:hAnsi="仿宋_GB2312" w:cs="仿宋_GB2312" w:eastAsia="仿宋_GB2312"/>
                      <w:sz w:val="21"/>
                    </w:rPr>
                    <w:t xml:space="preserve">USB </w:t>
                  </w:r>
                  <w:r>
                    <w:rPr>
                      <w:rFonts w:ascii="仿宋_GB2312" w:hAnsi="仿宋_GB2312" w:cs="仿宋_GB2312" w:eastAsia="仿宋_GB2312"/>
                      <w:sz w:val="21"/>
                    </w:rPr>
                    <w:t xml:space="preserve">接口不低于 </w:t>
                  </w:r>
                  <w:r>
                    <w:rPr>
                      <w:rFonts w:ascii="仿宋_GB2312" w:hAnsi="仿宋_GB2312" w:cs="仿宋_GB2312" w:eastAsia="仿宋_GB2312"/>
                      <w:sz w:val="21"/>
                    </w:rPr>
                    <w:t xml:space="preserve">2 </w:t>
                  </w:r>
                  <w:r>
                    <w:rPr>
                      <w:rFonts w:ascii="仿宋_GB2312" w:hAnsi="仿宋_GB2312" w:cs="仿宋_GB2312" w:eastAsia="仿宋_GB2312"/>
                      <w:sz w:val="21"/>
                    </w:rPr>
                    <w:t xml:space="preserve">个，具有 </w:t>
                  </w:r>
                  <w:r>
                    <w:rPr>
                      <w:rFonts w:ascii="仿宋_GB2312" w:hAnsi="仿宋_GB2312" w:cs="仿宋_GB2312" w:eastAsia="仿宋_GB2312"/>
                      <w:sz w:val="21"/>
                    </w:rPr>
                    <w:t xml:space="preserve">RJ45 LAN </w:t>
                  </w:r>
                  <w:r>
                    <w:rPr>
                      <w:rFonts w:ascii="仿宋_GB2312" w:hAnsi="仿宋_GB2312" w:cs="仿宋_GB2312" w:eastAsia="仿宋_GB2312"/>
                      <w:sz w:val="21"/>
                    </w:rPr>
                    <w:t xml:space="preserve">口；操作系统不低于 </w:t>
                  </w:r>
                  <w:r>
                    <w:rPr>
                      <w:rFonts w:ascii="仿宋_GB2312" w:hAnsi="仿宋_GB2312" w:cs="仿宋_GB2312" w:eastAsia="仿宋_GB2312"/>
                      <w:sz w:val="21"/>
                    </w:rPr>
                    <w:t>Android 7</w:t>
                  </w:r>
                  <w:r>
                    <w:rPr>
                      <w:rFonts w:ascii="仿宋_GB2312" w:hAnsi="仿宋_GB2312" w:cs="仿宋_GB2312" w:eastAsia="仿宋_GB2312"/>
                      <w:sz w:val="21"/>
                    </w:rPr>
                    <w:t>。</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3.4.2</w:t>
                  </w:r>
                  <w:r>
                    <w:rPr>
                      <w:rFonts w:ascii="仿宋_GB2312" w:hAnsi="仿宋_GB2312" w:cs="仿宋_GB2312" w:eastAsia="仿宋_GB2312"/>
                      <w:sz w:val="21"/>
                    </w:rPr>
                    <w:t>产品扫码设备。要求具备产品扫描功能，支持条形码和二维码的识读与解析，快速完成产品的出入库、备案与销售。参数要求：支持无线扫码，设备像素不低于</w:t>
                  </w:r>
                  <w:r>
                    <w:rPr>
                      <w:rFonts w:ascii="仿宋_GB2312" w:hAnsi="仿宋_GB2312" w:cs="仿宋_GB2312" w:eastAsia="仿宋_GB2312"/>
                      <w:sz w:val="21"/>
                    </w:rPr>
                    <w:t>640*480</w:t>
                  </w:r>
                  <w:r>
                    <w:rPr>
                      <w:rFonts w:ascii="仿宋_GB2312" w:hAnsi="仿宋_GB2312" w:cs="仿宋_GB2312" w:eastAsia="仿宋_GB2312"/>
                      <w:sz w:val="21"/>
                    </w:rPr>
                    <w:t xml:space="preserve">； 支持照明、对焦；识读码制支持条形码和二维码；通讯接口支持 </w:t>
                  </w:r>
                  <w:r>
                    <w:rPr>
                      <w:rFonts w:ascii="仿宋_GB2312" w:hAnsi="仿宋_GB2312" w:cs="仿宋_GB2312" w:eastAsia="仿宋_GB2312"/>
                      <w:sz w:val="21"/>
                    </w:rPr>
                    <w:t>USB 2.0</w:t>
                  </w:r>
                  <w:r>
                    <w:rPr>
                      <w:rFonts w:ascii="仿宋_GB2312" w:hAnsi="仿宋_GB2312" w:cs="仿宋_GB2312" w:eastAsia="仿宋_GB2312"/>
                      <w:sz w:val="21"/>
                    </w:rPr>
                    <w:t xml:space="preserve">；支持 </w:t>
                  </w:r>
                  <w:r>
                    <w:rPr>
                      <w:rFonts w:ascii="仿宋_GB2312" w:hAnsi="仿宋_GB2312" w:cs="仿宋_GB2312" w:eastAsia="仿宋_GB2312"/>
                      <w:sz w:val="21"/>
                    </w:rPr>
                    <w:t xml:space="preserve">Android </w:t>
                  </w:r>
                  <w:r>
                    <w:rPr>
                      <w:rFonts w:ascii="仿宋_GB2312" w:hAnsi="仿宋_GB2312" w:cs="仿宋_GB2312" w:eastAsia="仿宋_GB2312"/>
                      <w:sz w:val="21"/>
                    </w:rPr>
                    <w:t>操作系统。</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3.4.3</w:t>
                  </w:r>
                  <w:r>
                    <w:rPr>
                      <w:rFonts w:ascii="仿宋_GB2312" w:hAnsi="仿宋_GB2312" w:cs="仿宋_GB2312" w:eastAsia="仿宋_GB2312"/>
                      <w:sz w:val="21"/>
                    </w:rPr>
                    <w:t xml:space="preserve">身份数据读取设备。要求具备身份证读取功能，通过读取录入农户的身份信息，为农户建立档案；同时具备农户在线建档及本地图像库采集比对功能，通过终端实现农户基础档案在线建档，并完成本地图像库及省级图像库的比对。参数要求：设备阅读距离不小于 </w:t>
                  </w:r>
                  <w:r>
                    <w:rPr>
                      <w:rFonts w:ascii="仿宋_GB2312" w:hAnsi="仿宋_GB2312" w:cs="仿宋_GB2312" w:eastAsia="仿宋_GB2312"/>
                      <w:sz w:val="21"/>
                    </w:rPr>
                    <w:t>3cm</w:t>
                  </w:r>
                  <w:r>
                    <w:rPr>
                      <w:rFonts w:ascii="仿宋_GB2312" w:hAnsi="仿宋_GB2312" w:cs="仿宋_GB2312" w:eastAsia="仿宋_GB2312"/>
                      <w:sz w:val="21"/>
                    </w:rPr>
                    <w:t xml:space="preserve">；接口支持 </w:t>
                  </w:r>
                  <w:r>
                    <w:rPr>
                      <w:rFonts w:ascii="仿宋_GB2312" w:hAnsi="仿宋_GB2312" w:cs="仿宋_GB2312" w:eastAsia="仿宋_GB2312"/>
                      <w:sz w:val="21"/>
                    </w:rPr>
                    <w:t>USB2.0</w:t>
                  </w:r>
                  <w:r>
                    <w:rPr>
                      <w:rFonts w:ascii="仿宋_GB2312" w:hAnsi="仿宋_GB2312" w:cs="仿宋_GB2312" w:eastAsia="仿宋_GB2312"/>
                      <w:sz w:val="21"/>
                    </w:rPr>
                    <w:t xml:space="preserve">；支持 </w:t>
                  </w:r>
                  <w:r>
                    <w:rPr>
                      <w:rFonts w:ascii="仿宋_GB2312" w:hAnsi="仿宋_GB2312" w:cs="仿宋_GB2312" w:eastAsia="仿宋_GB2312"/>
                      <w:sz w:val="21"/>
                    </w:rPr>
                    <w:t xml:space="preserve">OTG </w:t>
                  </w:r>
                  <w:r>
                    <w:rPr>
                      <w:rFonts w:ascii="仿宋_GB2312" w:hAnsi="仿宋_GB2312" w:cs="仿宋_GB2312" w:eastAsia="仿宋_GB2312"/>
                      <w:sz w:val="21"/>
                    </w:rPr>
                    <w:t>即插即用。</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3.4.4</w:t>
                  </w:r>
                  <w:r>
                    <w:rPr>
                      <w:rFonts w:ascii="仿宋_GB2312" w:hAnsi="仿宋_GB2312" w:cs="仿宋_GB2312" w:eastAsia="仿宋_GB2312"/>
                      <w:sz w:val="21"/>
                    </w:rPr>
                    <w:t xml:space="preserve">票据打印设备。要求具备销售记录打印功能，通过终端实现销售小票的打印，实现农户留存溯源。参数要求：设备为热敏打印机；接口类型支持 </w:t>
                  </w:r>
                  <w:r>
                    <w:rPr>
                      <w:rFonts w:ascii="仿宋_GB2312" w:hAnsi="仿宋_GB2312" w:cs="仿宋_GB2312" w:eastAsia="仿宋_GB2312"/>
                      <w:sz w:val="21"/>
                    </w:rPr>
                    <w:t>USB</w:t>
                  </w:r>
                  <w:r>
                    <w:rPr>
                      <w:rFonts w:ascii="仿宋_GB2312" w:hAnsi="仿宋_GB2312" w:cs="仿宋_GB2312" w:eastAsia="仿宋_GB2312"/>
                      <w:sz w:val="21"/>
                    </w:rPr>
                    <w:t>；支持常规的小票打印纸规格。</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3.4.5</w:t>
                  </w:r>
                  <w:r>
                    <w:rPr>
                      <w:rFonts w:ascii="仿宋_GB2312" w:hAnsi="仿宋_GB2312" w:cs="仿宋_GB2312" w:eastAsia="仿宋_GB2312"/>
                      <w:sz w:val="21"/>
                    </w:rPr>
                    <w:t xml:space="preserve">人像采集设备。要求具备人脸捕捉功能，采集的图像与农户档案关联，支持同省级农户人脸信息库进行匹配，可实现本地人脸采集及比对分析。参数要求：设备最大分辨率不低于 </w:t>
                  </w:r>
                  <w:r>
                    <w:rPr>
                      <w:rFonts w:ascii="仿宋_GB2312" w:hAnsi="仿宋_GB2312" w:cs="仿宋_GB2312" w:eastAsia="仿宋_GB2312"/>
                      <w:sz w:val="21"/>
                    </w:rPr>
                    <w:t>720p/30fps</w:t>
                  </w:r>
                  <w:r>
                    <w:rPr>
                      <w:rFonts w:ascii="仿宋_GB2312" w:hAnsi="仿宋_GB2312" w:cs="仿宋_GB2312" w:eastAsia="仿宋_GB2312"/>
                      <w:sz w:val="21"/>
                    </w:rPr>
                    <w:t xml:space="preserve">；可实现自动对焦；支持 </w:t>
                  </w:r>
                  <w:r>
                    <w:rPr>
                      <w:rFonts w:ascii="仿宋_GB2312" w:hAnsi="仿宋_GB2312" w:cs="仿宋_GB2312" w:eastAsia="仿宋_GB2312"/>
                      <w:sz w:val="21"/>
                    </w:rPr>
                    <w:t xml:space="preserve">Android </w:t>
                  </w:r>
                  <w:r>
                    <w:rPr>
                      <w:rFonts w:ascii="仿宋_GB2312" w:hAnsi="仿宋_GB2312" w:cs="仿宋_GB2312" w:eastAsia="仿宋_GB2312"/>
                      <w:sz w:val="21"/>
                    </w:rPr>
                    <w:t>操作系统。</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3.5</w:t>
                  </w:r>
                  <w:r>
                    <w:rPr>
                      <w:rFonts w:ascii="仿宋_GB2312" w:hAnsi="仿宋_GB2312" w:cs="仿宋_GB2312" w:eastAsia="仿宋_GB2312"/>
                      <w:sz w:val="21"/>
                    </w:rPr>
                    <w:t>智能终端数据报送要求</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农资门店的智能终端系统应满足以规定频率、时间、地址向省级农业投入品监管系统报送规定数据，系统应确保数据报送的完整性、准确性、及时性。</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智能终端系统数据报送表</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数据类别</w:t>
                  </w:r>
                </w:p>
              </w:tc>
              <w:tc>
                <w:tcPr>
                  <w:tcW w:type="dxa" w:w="196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主要内容</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基础信息</w:t>
                  </w:r>
                </w:p>
              </w:tc>
              <w:tc>
                <w:tcPr>
                  <w:tcW w:type="dxa" w:w="19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店铺名称，经营种类（种子、农药、化肥、农资），门店负责人，门店电话，门店坐标，设备名称，设备类型，设备品牌</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出入库信息</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种子、化</w:t>
                  </w:r>
                  <w:r>
                    <w:rPr>
                      <w:rFonts w:ascii="仿宋_GB2312" w:hAnsi="仿宋_GB2312" w:cs="仿宋_GB2312" w:eastAsia="仿宋_GB2312"/>
                      <w:sz w:val="21"/>
                    </w:rPr>
                    <w:t>肥、饲料</w:t>
                  </w:r>
                </w:p>
              </w:tc>
              <w:tc>
                <w:tcPr>
                  <w:tcW w:type="dxa" w:w="1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作物名称，品种名称，登记证号，申请者，</w:t>
                  </w:r>
                  <w:r>
                    <w:rPr>
                      <w:rFonts w:ascii="仿宋_GB2312" w:hAnsi="仿宋_GB2312" w:cs="仿宋_GB2312" w:eastAsia="仿宋_GB2312"/>
                      <w:sz w:val="21"/>
                    </w:rPr>
                    <w:t>育种者（审定单位），品种来源，库存数量，</w:t>
                  </w:r>
                  <w:r>
                    <w:rPr>
                      <w:rFonts w:ascii="仿宋_GB2312" w:hAnsi="仿宋_GB2312" w:cs="仿宋_GB2312" w:eastAsia="仿宋_GB2312"/>
                      <w:sz w:val="21"/>
                    </w:rPr>
                    <w:t>入库时间，有效期，出库时间</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农、兽药</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药品（商品）名称，品牌名称，通用名称（有效成分名称），登记证号，公司名称，首次批准日期，有效期，药品类型，是否进口，规格，作物</w:t>
                  </w:r>
                  <w:r>
                    <w:rPr>
                      <w:rFonts w:ascii="仿宋_GB2312" w:hAnsi="仿宋_GB2312" w:cs="仿宋_GB2312" w:eastAsia="仿宋_GB2312"/>
                      <w:sz w:val="21"/>
                    </w:rPr>
                    <w:t>/</w:t>
                  </w:r>
                  <w:r>
                    <w:rPr>
                      <w:rFonts w:ascii="仿宋_GB2312" w:hAnsi="仿宋_GB2312" w:cs="仿宋_GB2312" w:eastAsia="仿宋_GB2312"/>
                      <w:sz w:val="21"/>
                    </w:rPr>
                    <w:t>防治对象，安全间隔期，库存数量，入库时间，出库时间</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用户档案信息</w:t>
                  </w:r>
                </w:p>
              </w:tc>
              <w:tc>
                <w:tcPr>
                  <w:tcW w:type="dxa" w:w="19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农户名称，身份证，手机号码，地址，创建时间，购买记录</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销售信息</w:t>
                  </w:r>
                </w:p>
              </w:tc>
              <w:tc>
                <w:tcPr>
                  <w:tcW w:type="dxa" w:w="19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订单号，商品编号，商品数量，商品单价，销售总价，</w:t>
                  </w:r>
                  <w:r>
                    <w:rPr>
                      <w:rFonts w:ascii="仿宋_GB2312" w:hAnsi="仿宋_GB2312" w:cs="仿宋_GB2312" w:eastAsia="仿宋_GB2312"/>
                      <w:sz w:val="21"/>
                    </w:rPr>
                    <w:t>购买人姓名，购买人电话，订单时间，处方记录，规格</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服务要求</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售后服务要求</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 xml:space="preserve">）提供质保期 </w:t>
                  </w:r>
                  <w:r>
                    <w:rPr>
                      <w:rFonts w:ascii="仿宋_GB2312" w:hAnsi="仿宋_GB2312" w:cs="仿宋_GB2312" w:eastAsia="仿宋_GB2312"/>
                      <w:sz w:val="21"/>
                    </w:rPr>
                    <w:t xml:space="preserve">3 </w:t>
                  </w:r>
                  <w:r>
                    <w:rPr>
                      <w:rFonts w:ascii="仿宋_GB2312" w:hAnsi="仿宋_GB2312" w:cs="仿宋_GB2312" w:eastAsia="仿宋_GB2312"/>
                      <w:sz w:val="21"/>
                    </w:rPr>
                    <w:t>年的免费售后服务，质保期自项目验收合格之日起计算。</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 xml:space="preserve">）建立有效的运维保障机制和应急响应机制，保证设备出现故障后 </w:t>
                  </w:r>
                  <w:r>
                    <w:rPr>
                      <w:rFonts w:ascii="仿宋_GB2312" w:hAnsi="仿宋_GB2312" w:cs="仿宋_GB2312" w:eastAsia="仿宋_GB2312"/>
                      <w:sz w:val="21"/>
                    </w:rPr>
                    <w:t>2</w:t>
                  </w:r>
                  <w:r>
                    <w:rPr>
                      <w:rFonts w:ascii="仿宋_GB2312" w:hAnsi="仿宋_GB2312" w:cs="仿宋_GB2312" w:eastAsia="仿宋_GB2312"/>
                      <w:sz w:val="21"/>
                    </w:rPr>
                    <w:t xml:space="preserve">小时内能做出反应，简单故障 </w:t>
                  </w:r>
                  <w:r>
                    <w:rPr>
                      <w:rFonts w:ascii="仿宋_GB2312" w:hAnsi="仿宋_GB2312" w:cs="仿宋_GB2312" w:eastAsia="仿宋_GB2312"/>
                      <w:sz w:val="21"/>
                    </w:rPr>
                    <w:t>24</w:t>
                  </w:r>
                  <w:r>
                    <w:rPr>
                      <w:rFonts w:ascii="仿宋_GB2312" w:hAnsi="仿宋_GB2312" w:cs="仿宋_GB2312" w:eastAsia="仿宋_GB2312"/>
                      <w:sz w:val="21"/>
                    </w:rPr>
                    <w:t xml:space="preserve">小时之内解决并恢复；复杂问题 </w:t>
                  </w:r>
                  <w:r>
                    <w:rPr>
                      <w:rFonts w:ascii="仿宋_GB2312" w:hAnsi="仿宋_GB2312" w:cs="仿宋_GB2312" w:eastAsia="仿宋_GB2312"/>
                      <w:sz w:val="21"/>
                    </w:rPr>
                    <w:t>48</w:t>
                  </w:r>
                  <w:r>
                    <w:rPr>
                      <w:rFonts w:ascii="仿宋_GB2312" w:hAnsi="仿宋_GB2312" w:cs="仿宋_GB2312" w:eastAsia="仿宋_GB2312"/>
                      <w:sz w:val="21"/>
                    </w:rPr>
                    <w:t>小时之内解决并恢复。</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）质保期内定期派专业维修人员到现场走访，给予检查维护巡检服务以便保证设备正常稳定运行。</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后期维护。项目实施完成验收后三年内，设备及系统发生故障、或因其他原因需要对设备进行迁移，由安装单位负责进行维修、迁移等工作，确保设备正常高效运转。</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）农资门店智能终端安装部署陕西省农业投入品监管系统，系统永久免费使用，同时伴随陕西省农业投入监管系统的升级进行同步升级。</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4.2</w:t>
                  </w:r>
                  <w:r>
                    <w:rPr>
                      <w:rFonts w:ascii="仿宋_GB2312" w:hAnsi="仿宋_GB2312" w:cs="仿宋_GB2312" w:eastAsia="仿宋_GB2312"/>
                      <w:sz w:val="21"/>
                    </w:rPr>
                    <w:t>项目培训要求</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）供应商应制定详尽的培训方案，明确培训目标、内容、方式等培训所需各类资源。</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）供应商须选派具有一定资质和实践经验，且受过专门训练的专业技术人员负责技术培训工作。</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）供应商的培训内容包括基本理论和现场操作辅导，培训方式包括技术讲课、操作示范和技术咨询等，确保培训人员对系统基本理论、操作规范、管理维护等方面获得全面了解和掌握。</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）项目培训采取集中培训和现场培训相结合的方式。</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集中培训。在完成整体调试后</w:t>
                  </w:r>
                  <w:r>
                    <w:rPr>
                      <w:rFonts w:ascii="仿宋_GB2312" w:hAnsi="仿宋_GB2312" w:cs="仿宋_GB2312" w:eastAsia="仿宋_GB2312"/>
                      <w:sz w:val="21"/>
                    </w:rPr>
                    <w:t>,</w:t>
                  </w:r>
                  <w:r>
                    <w:rPr>
                      <w:rFonts w:ascii="仿宋_GB2312" w:hAnsi="仿宋_GB2312" w:cs="仿宋_GB2312" w:eastAsia="仿宋_GB2312"/>
                      <w:sz w:val="21"/>
                    </w:rPr>
                    <w:t>由项目供应商负责组织针对使用系统的行业主管单位用户，集中进行使用培训和安全知识培训工作。</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现场培训。现场培训针对农资门店从业人员，由供应商在门店设备调试完成的同时，开展现场设备操作及软件平台使用培训工作。</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1、国家、省市相关规范及其他相关专业现行规范； 2、采购文件及合同要求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产品交付并验收合格后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因履行本合同引起的或与本合同有关的争议，甲、乙双方应首先通过友好协商解决;如果协商不能解决争议，甲乙双方可 采取向甲方所在地仲裁委员会按其仲裁规则申请仲裁或向甲方所在地有管辖权的人民法院提起诉讼。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中小企业声明函 残疾人福利性单位声明函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（1）《政府采购促进中小企业发展管理办法》（财库〔2020〕46号）； （2）《财政部司法部关于政府采购支持监狱企业发展有关问题的通知》（财库〔2014〕68号）； （3）《关于促进残疾人就业政府采购政策的通知》（财库〔2017〕141号）； （4）《节能产品政府采购实施意见》（财库〔2004〕185号）； （5）《环境标志产品政府采购实施的意见》（财库〔2006〕90号）； （6）《国务院办公厅关于建立政府强制采购节能产品制度的通知》（国办发〔2007〕51号）； （7）财政部发展改革委生态环境部市场监管总局关于调整优化节能产品、环境标志产品政府采购执行机制的通知（财库〔2019〕9号）； （8）《关于印发环境标志产品政府采购品目清单的通知》（财库〔2019〕18号）； （9）《关于印发节能产品政府采购品目清单的通知》（财库〔2019〕19号）； （10）《关于发布参与实施政府采购节能产品、环境标志产品认证机构名录的公告》（2019年第16号)； （11）《关于运用政府采购政策支持乡村产业振兴的通知》（财库〔2021〕19号）； （12）陕西省财政厅关于印发《陕西省中小企业政府采购信用融资办法》（陕财办采〔2018〕23号），相关政策、业务流程、办理平台（详见http://www.ccgp-shaanxi.gov.cn/zcdservice/zcd/shanxi/）； （13）《陕西省财政厅关于加快推进我省中小企业政府采购信用融资工作的通知》（陕财办采〔2020〕15号）； （14）《关于进一步加强政府绿色采购有关问题的通知》（陕财办采〔2021〕29号）； （15）《陕西省财政厅陕西省工业和信息化厅关于运用政府采购政策支持首台（套）及创新产品有关事项的通知》（陕财办采〔2021〕17号）； （16）《关于进一步加大政府采购支持中小企业力度的通知》（财库〔2022〕19号）、《关于落实政府采购支持中小企业政策有关事项的通知》（陕财办采函〔2022〕10号）； （17）其他需要落实的政府采购政策。</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供应商应具有独立承担民事责任的能力且具备向采购人提供相关服务的企业法人、事业法人、其他组织或自然人</w:t>
            </w:r>
          </w:p>
        </w:tc>
        <w:tc>
          <w:tcPr>
            <w:tcW w:type="dxa" w:w="3322"/>
          </w:tcPr>
          <w:p>
            <w:pPr>
              <w:pStyle w:val="null3"/>
            </w:pPr>
            <w:r>
              <w:rPr>
                <w:rFonts w:ascii="仿宋_GB2312" w:hAnsi="仿宋_GB2312" w:cs="仿宋_GB2312" w:eastAsia="仿宋_GB2312"/>
              </w:rPr>
              <w:t>企业法人应提供具有统一社会信用代码的营业执照证明文件；事业法人应提供事业单位法人证、组织机构代码证等证明文件；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被授权人须本单位在职人员，并提供供应商单位近3个月内任意一个月缴纳的养老保险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提供2024年度的财务审计报告</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响应文件截止时间不足一年的可提供成立后任意时段的资产负债表）或开标时间前六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提供投标截止日前近一年内任意一个月的纳税证明或完税证明（任意税种），依法免税的单位应提供相关证明材料；供应商需在项目电子化交易系统中按要求上传相应证明文件并进行电子签章。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近一年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专业技术能力的说明及承诺书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未被“信用中国”网站（www.creditchina.gov.cn）列入失信被执行人（页面跳转至“中国执行信息公开网”http://zxgk.court.gov.cn/shixin/）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无违法情况说明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本项目不接受联合体投标（提供承诺书）；供应商需在项目电子化交易系统中按要求上传相应证明文件并进行电子签章。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专门面向中小企业采购</w:t>
            </w:r>
          </w:p>
        </w:tc>
        <w:tc>
          <w:tcPr>
            <w:tcW w:type="dxa" w:w="3322"/>
          </w:tcPr>
          <w:p>
            <w:pPr>
              <w:pStyle w:val="null3"/>
            </w:pPr>
            <w:r>
              <w:rPr>
                <w:rFonts w:ascii="仿宋_GB2312" w:hAnsi="仿宋_GB2312" w:cs="仿宋_GB2312" w:eastAsia="仿宋_GB2312"/>
              </w:rPr>
              <w:t>中小企业说明；供应商需在项目电子化交易系统中按要求上传相应证明文件并进行电子签章。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磋商报价是固定价且唯一，不得提交选择性报价，且标价不得高于等于采购预算。</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应用功能证明材料.docx 业绩.docx 服务内容及服务邀请应答表 培训方案.docx 工作人员组成情况.docx 中小企业声明函 商务应答表 服务承诺.docx 报价表 数据对接方案.docx 响应文件封面 残疾人福利性单位声明函 标的清单 供应商资格证明文件.docx 实施方案.docx 应急措施.docx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供应商名称应与营业执照等资料相一致</w:t>
            </w:r>
          </w:p>
        </w:tc>
        <w:tc>
          <w:tcPr>
            <w:tcW w:type="dxa" w:w="1661"/>
          </w:tcPr>
          <w:p>
            <w:pPr>
              <w:pStyle w:val="null3"/>
            </w:pPr>
            <w:r>
              <w:rPr>
                <w:rFonts w:ascii="仿宋_GB2312" w:hAnsi="仿宋_GB2312" w:cs="仿宋_GB2312" w:eastAsia="仿宋_GB2312"/>
              </w:rPr>
              <w:t>应用功能证明材料.docx 业绩.docx 服务内容及服务邀请应答表 培训方案.docx 工作人员组成情况.docx 中小企业声明函 商务应答表 服务承诺.docx 报价表 数据对接方案.docx 响应文件封面 残疾人福利性单位声明函 标的清单 供应商资格证明文件.docx 实施方案.docx 应急措施.docx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服务期限、响应有效期等符合采购文件要求</w:t>
            </w:r>
          </w:p>
        </w:tc>
        <w:tc>
          <w:tcPr>
            <w:tcW w:type="dxa" w:w="1661"/>
          </w:tcPr>
          <w:p>
            <w:pPr>
              <w:pStyle w:val="null3"/>
            </w:pPr>
            <w:r>
              <w:rPr>
                <w:rFonts w:ascii="仿宋_GB2312" w:hAnsi="仿宋_GB2312" w:cs="仿宋_GB2312" w:eastAsia="仿宋_GB2312"/>
              </w:rPr>
              <w:t>响应文件封面 商务应答表 服务承诺.docx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供应商提供针对本项目的实施方案，内容包括：①供货组织及进度安排；②运输方案；③安装、调试、验收方案。2、评审标准①完整性：方案须全面，对评审内容中的各项要求有详细描述及说明；②可实施性：切合本项目实际情况，实施步骤清晰、合理；③针对性：方案能够紧扣项目实际情况，内容科学合理。3、赋分标准①供货组织及进度安排：每完全满足一项评审标准得1分，满分3分；②运输方案：每完全满足一项评审标准得1分，满分3分；③安装、调试、验收方案：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应用功能证明材料</w:t>
            </w:r>
          </w:p>
        </w:tc>
        <w:tc>
          <w:tcPr>
            <w:tcW w:type="dxa" w:w="2492"/>
          </w:tcPr>
          <w:p>
            <w:pPr>
              <w:pStyle w:val="null3"/>
            </w:pPr>
            <w:r>
              <w:rPr>
                <w:rFonts w:ascii="仿宋_GB2312" w:hAnsi="仿宋_GB2312" w:cs="仿宋_GB2312" w:eastAsia="仿宋_GB2312"/>
              </w:rPr>
              <w:t>应用功能证明材料：1、（1）智能终端设备应具备农资扫码出入库（2）农资销售实时登记（3）农资实时备案（4）农户实名制匹配建档（5）农药处方在线开具、挂账、退换货等功能；包括但不限于产品说明书、真实系统截图，切合本项目实际情况，实施步骤清晰、合理。满分为5分，每缺少一项扣1分；未提供不得分。2、（1）设备管理系统应具备各类报表汇总、查看功能（2）包括且不限于库存信息、出入库信息、建档人员信息、订单总量、销售额、农资登记总量等。包括但不限于产品说明书、真实系统截图，切合本项目实际情况，实施步骤清晰、合理。满分为2分，每缺少一项扣1分；未提供不得分。3、（1）设备应具备与省级平台互联互通能力（2）能实现农户人像档案库自动在线识别分析（3）农资入库与登记备案库实时在线比对等功能（4）具备数据对外共享报送能力；包括但不限于产品说明书、真实系统截图，切合本项目实际情况，实施步骤清晰、合理。满分为4分，每缺少一项扣1分；未提供不得分。4、（1）设备支持与手机端的应用的互联互通（2）通过手机端进行产品出入库）（3）农资销售实时登记等数据实现与智能终端设备的实时共享；包括但不限于产品说明书、真实系统截图，切合本项目实际情况，实施步骤清晰、合理。满分为3分，每缺少一项扣1分；未提供不得分。5、（1）农资门店的智能终端系统应满足以规定频率、时间、地址向省级农业投入品监管系统报送规定数据（2）系统应确保数据报送的完整性、准确性、及时性。切合本项目实际情况，实施步骤清晰、合理。包括但不限于产品说明书、真实系统截图，切合本项目实际情况，实施步骤清晰、合理。满分为2分，每缺少一项扣1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应用功能证明材料.docx</w:t>
            </w:r>
          </w:p>
        </w:tc>
      </w:tr>
      <w:tr>
        <w:tc>
          <w:tcPr>
            <w:tcW w:type="dxa" w:w="831"/>
            <w:vMerge/>
          </w:tcPr>
          <w:p/>
        </w:tc>
        <w:tc>
          <w:tcPr>
            <w:tcW w:type="dxa" w:w="1661"/>
          </w:tcPr>
          <w:p>
            <w:pPr>
              <w:pStyle w:val="null3"/>
            </w:pPr>
            <w:r>
              <w:rPr>
                <w:rFonts w:ascii="仿宋_GB2312" w:hAnsi="仿宋_GB2312" w:cs="仿宋_GB2312" w:eastAsia="仿宋_GB2312"/>
              </w:rPr>
              <w:t>数据对接方案</w:t>
            </w:r>
          </w:p>
        </w:tc>
        <w:tc>
          <w:tcPr>
            <w:tcW w:type="dxa" w:w="2492"/>
          </w:tcPr>
          <w:p>
            <w:pPr>
              <w:pStyle w:val="null3"/>
            </w:pPr>
            <w:r>
              <w:rPr>
                <w:rFonts w:ascii="仿宋_GB2312" w:hAnsi="仿宋_GB2312" w:cs="仿宋_GB2312" w:eastAsia="仿宋_GB2312"/>
              </w:rPr>
              <w:t>1、评审内容供应商提供针对本项目的数据对接方案，内容包括：①基础信息；②出入库信息；③用户档案信息；④销售信息。2、评审标准①完整性：方案须全面，对评审内容中的各项要求有详细描述及说明；②可实施性：切合本项目实际情况，实施步骤清晰、合理；③针对性：方案能够紧扣项目实际情况，内容科学合理。3、赋分标准①基础信息：每完全满足一项评审标准得1分，满分3分；②出入库信息：每完全满足一项评审标准得1 分，满分3分；③用户档案信息：每完全满足一项评审标准得1分，满分3分；④销售信息：每完全满足一项评审标准得1分，满分3分。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数据对接方案.docx</w:t>
            </w:r>
          </w:p>
        </w:tc>
      </w:tr>
      <w:tr>
        <w:tc>
          <w:tcPr>
            <w:tcW w:type="dxa" w:w="831"/>
            <w:vMerge/>
          </w:tcPr>
          <w:p/>
        </w:tc>
        <w:tc>
          <w:tcPr>
            <w:tcW w:type="dxa" w:w="1661"/>
          </w:tcPr>
          <w:p>
            <w:pPr>
              <w:pStyle w:val="null3"/>
            </w:pPr>
            <w:r>
              <w:rPr>
                <w:rFonts w:ascii="仿宋_GB2312" w:hAnsi="仿宋_GB2312" w:cs="仿宋_GB2312" w:eastAsia="仿宋_GB2312"/>
              </w:rPr>
              <w:t>工作人员组成情况</w:t>
            </w:r>
          </w:p>
        </w:tc>
        <w:tc>
          <w:tcPr>
            <w:tcW w:type="dxa" w:w="2492"/>
          </w:tcPr>
          <w:p>
            <w:pPr>
              <w:pStyle w:val="null3"/>
            </w:pPr>
            <w:r>
              <w:rPr>
                <w:rFonts w:ascii="仿宋_GB2312" w:hAnsi="仿宋_GB2312" w:cs="仿宋_GB2312" w:eastAsia="仿宋_GB2312"/>
              </w:rPr>
              <w:t>1、评审内容供应商提供拟派本项目工作人员组成情况（有具体成员名单，包括姓名、工作经验、工作职责、联系方式、人员社保等）2 、评审标准①完整性：组织机构的运行配备完善、各岗位人员分工明确合理。②针对性：人员数量充足，人员资格/年龄等符合采购需求；③专业性：人员相关岗位经验丰富，切合本项目实际情况。3、赋分标准每完全满足一项评审标准得2分，基本满足得1分，不满足得0.5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工作人员组成情况.docx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供应商提供针对本项目提供具体的服务承诺，内容包括：①服务质量承诺；②服务体系及响应时间。2、评审标准①完整性：承诺须全面，对评审内容中的各项要求有详细描述及说明；②可实施性：切合本项目实际情况，步骤清晰、合理，操作性强；③针对性：承诺能够紧扣项目实际情况，内容科学合理。3、赋分标准①服务质量承诺：每完全满足一项评审标准得1.5分，满分4.5分；②服务体系及响应时间：每完全满足一项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供应商根据本项目涉及系统操作的实际需求提供培训方案，内容包括：①培训计划；②培训方式；③培训内容。2、评审标准①完整性：方案须全面，对评审内容中的各项要求有详细描述及说明；②可实施性：切合本项目实际情况，步骤清晰、合理，操作性强；③针对性：方案能够紧扣项目实际情况，内容科学合理。3、赋分标准①培训计划：每完全满足一项评审标准得1分，满分3分；②培训方式：每完全满足一项评审标准得1分，满分3分；③培训内容：每完全满足一项评审标准得1分，满分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提供针对本项目的应急措施，项目实施过程中针对突发事件和重大业务时间节点的风险防范措施及应急突发事件的处理预案。2、评审标准①完整性：措施须全面，对评审内容中的各项要求有详细描述及说明；②可实施性：切合本项目实际情况，实施步骤清晰、合理；③针对性：措施能够紧扣项目实际情况，内容科学合理。3 、赋分标准每完全满足一项评审标准得3分，基本满足得2分，不满足得1分；满分9分。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应急措施.docx</w:t>
            </w:r>
          </w:p>
        </w:tc>
      </w:tr>
      <w:tr>
        <w:tc>
          <w:tcPr>
            <w:tcW w:type="dxa" w:w="831"/>
            <w:vMerge/>
          </w:tcPr>
          <w:p/>
        </w:tc>
        <w:tc>
          <w:tcPr>
            <w:tcW w:type="dxa" w:w="1661"/>
          </w:tcPr>
          <w:p>
            <w:pPr>
              <w:pStyle w:val="null3"/>
            </w:pPr>
            <w:r>
              <w:rPr>
                <w:rFonts w:ascii="仿宋_GB2312" w:hAnsi="仿宋_GB2312" w:cs="仿宋_GB2312" w:eastAsia="仿宋_GB2312"/>
              </w:rPr>
              <w:t>供应商的业绩</w:t>
            </w:r>
          </w:p>
        </w:tc>
        <w:tc>
          <w:tcPr>
            <w:tcW w:type="dxa" w:w="2492"/>
          </w:tcPr>
          <w:p>
            <w:pPr>
              <w:pStyle w:val="null3"/>
            </w:pPr>
            <w:r>
              <w:rPr>
                <w:rFonts w:ascii="仿宋_GB2312" w:hAnsi="仿宋_GB2312" w:cs="仿宋_GB2312" w:eastAsia="仿宋_GB2312"/>
              </w:rPr>
              <w:t>供应商提供2022年11月至今（以合同签订时间为准）的类似项目业绩，需提供合同复印件或扫描件并加盖公章，作为证明材料。 每提供一份得2分，满分为10分，不得重复累计。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磋商报价采用低价优先法计算，即满足竞争性磋商文件要求且最后磋商报价最低的报价为评审基准价，其价格分为满分。其他供应商的价格分统一按照下列公式计算： 磋商报价得分=（评审基准价/最后磋商报价）×20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详见附件：工作人员组成情况.docx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详见附件：数据对接方案.docx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详见附件：应急措施.docx</w:t>
      </w:r>
    </w:p>
    <w:p>
      <w:pPr>
        <w:pStyle w:val="null3"/>
        <w:ind w:firstLine="960"/>
      </w:pPr>
      <w:r>
        <w:rPr>
          <w:rFonts w:ascii="仿宋_GB2312" w:hAnsi="仿宋_GB2312" w:cs="仿宋_GB2312" w:eastAsia="仿宋_GB2312"/>
        </w:rPr>
        <w:t>详见附件：应用功能证明材料.docx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