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76A84F">
      <w:pPr>
        <w:jc w:val="left"/>
        <w:rPr>
          <w:rFonts w:hint="eastAsia" w:ascii="宋体" w:hAnsi="宋体" w:eastAsia="宋体" w:cs="宋体"/>
          <w:bCs/>
          <w:color w:val="auto"/>
          <w:sz w:val="32"/>
          <w:szCs w:val="32"/>
          <w:highlight w:val="none"/>
        </w:rPr>
      </w:pPr>
    </w:p>
    <w:p w14:paraId="3E787194">
      <w:pPr>
        <w:jc w:val="left"/>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（GF—201</w:t>
      </w:r>
      <w:r>
        <w:rPr>
          <w:rFonts w:hint="eastAsia" w:ascii="宋体" w:hAnsi="宋体" w:eastAsia="宋体" w:cs="宋体"/>
          <w:bCs/>
          <w:color w:val="auto"/>
          <w:sz w:val="32"/>
          <w:szCs w:val="32"/>
          <w:highlight w:val="none"/>
          <w:lang w:val="en-US" w:eastAsia="zh-CN"/>
        </w:rPr>
        <w:t>7</w:t>
      </w:r>
      <w:r>
        <w:rPr>
          <w:rFonts w:hint="eastAsia" w:ascii="宋体" w:hAnsi="宋体" w:eastAsia="宋体" w:cs="宋体"/>
          <w:bCs/>
          <w:color w:val="auto"/>
          <w:sz w:val="32"/>
          <w:szCs w:val="32"/>
          <w:highlight w:val="none"/>
        </w:rPr>
        <w:t>—</w:t>
      </w:r>
      <w:r>
        <w:rPr>
          <w:rFonts w:hint="eastAsia" w:ascii="宋体" w:hAnsi="宋体" w:eastAsia="宋体" w:cs="宋体"/>
          <w:bCs/>
          <w:color w:val="auto"/>
          <w:sz w:val="32"/>
          <w:szCs w:val="32"/>
          <w:highlight w:val="none"/>
          <w:lang w:val="en-US" w:eastAsia="zh-CN"/>
        </w:rPr>
        <w:t>0201</w:t>
      </w:r>
      <w:r>
        <w:rPr>
          <w:rFonts w:hint="eastAsia" w:ascii="宋体" w:hAnsi="宋体" w:eastAsia="宋体" w:cs="宋体"/>
          <w:bCs/>
          <w:color w:val="auto"/>
          <w:sz w:val="32"/>
          <w:szCs w:val="32"/>
          <w:highlight w:val="none"/>
        </w:rPr>
        <w:t>）</w:t>
      </w:r>
    </w:p>
    <w:p w14:paraId="071126D1">
      <w:pPr>
        <w:jc w:val="center"/>
        <w:rPr>
          <w:rFonts w:hint="eastAsia" w:ascii="宋体" w:hAnsi="宋体" w:eastAsia="宋体" w:cs="宋体"/>
          <w:b/>
          <w:color w:val="auto"/>
          <w:sz w:val="52"/>
          <w:szCs w:val="52"/>
          <w:highlight w:val="none"/>
        </w:rPr>
      </w:pPr>
    </w:p>
    <w:p w14:paraId="34F0EC22">
      <w:pPr>
        <w:jc w:val="center"/>
        <w:rPr>
          <w:rFonts w:hint="eastAsia" w:ascii="宋体" w:hAnsi="宋体" w:eastAsia="宋体" w:cs="宋体"/>
          <w:b/>
          <w:color w:val="auto"/>
          <w:sz w:val="72"/>
          <w:szCs w:val="52"/>
          <w:highlight w:val="none"/>
          <w:lang w:eastAsia="zh-CN"/>
        </w:rPr>
      </w:pPr>
      <w:r>
        <w:rPr>
          <w:rFonts w:hint="eastAsia" w:ascii="宋体" w:hAnsi="宋体" w:eastAsia="宋体" w:cs="宋体"/>
          <w:b/>
          <w:color w:val="auto"/>
          <w:sz w:val="72"/>
          <w:szCs w:val="52"/>
          <w:highlight w:val="none"/>
        </w:rPr>
        <w:t>建设工程施工合同</w:t>
      </w:r>
    </w:p>
    <w:p w14:paraId="466024F2">
      <w:pPr>
        <w:jc w:val="center"/>
        <w:rPr>
          <w:rFonts w:hint="eastAsia" w:ascii="宋体" w:hAnsi="宋体" w:eastAsia="宋体" w:cs="宋体"/>
          <w:b/>
          <w:color w:val="auto"/>
          <w:sz w:val="52"/>
          <w:szCs w:val="52"/>
          <w:highlight w:val="none"/>
        </w:rPr>
      </w:pPr>
      <w:r>
        <w:rPr>
          <w:rFonts w:hint="eastAsia" w:ascii="宋体" w:hAnsi="宋体" w:eastAsia="宋体" w:cs="宋体"/>
          <w:b/>
          <w:color w:val="auto"/>
          <w:sz w:val="52"/>
          <w:szCs w:val="52"/>
          <w:highlight w:val="none"/>
        </w:rPr>
        <w:t>（示范文本）</w:t>
      </w:r>
    </w:p>
    <w:p w14:paraId="65508E25">
      <w:pPr>
        <w:jc w:val="center"/>
        <w:rPr>
          <w:rFonts w:hint="eastAsia" w:ascii="宋体" w:hAnsi="宋体" w:eastAsia="宋体" w:cs="宋体"/>
          <w:b/>
          <w:color w:val="auto"/>
          <w:sz w:val="52"/>
          <w:szCs w:val="52"/>
          <w:highlight w:val="none"/>
        </w:rPr>
      </w:pPr>
    </w:p>
    <w:p w14:paraId="283C988F">
      <w:pPr>
        <w:rPr>
          <w:rFonts w:hint="eastAsia" w:ascii="宋体" w:hAnsi="宋体" w:eastAsia="宋体" w:cs="宋体"/>
          <w:b/>
          <w:color w:val="auto"/>
          <w:sz w:val="28"/>
          <w:szCs w:val="28"/>
          <w:highlight w:val="none"/>
        </w:rPr>
      </w:pPr>
    </w:p>
    <w:p w14:paraId="200F9978">
      <w:pPr>
        <w:rPr>
          <w:rFonts w:hint="eastAsia" w:ascii="宋体" w:hAnsi="宋体" w:eastAsia="宋体" w:cs="宋体"/>
          <w:b/>
          <w:color w:val="auto"/>
          <w:sz w:val="28"/>
          <w:szCs w:val="28"/>
          <w:highlight w:val="none"/>
        </w:rPr>
      </w:pPr>
    </w:p>
    <w:p w14:paraId="1A34A7CA">
      <w:pPr>
        <w:rPr>
          <w:rFonts w:hint="eastAsia" w:ascii="宋体" w:hAnsi="宋体" w:eastAsia="宋体" w:cs="宋体"/>
          <w:b/>
          <w:color w:val="auto"/>
          <w:sz w:val="28"/>
          <w:szCs w:val="28"/>
          <w:highlight w:val="none"/>
        </w:rPr>
      </w:pPr>
    </w:p>
    <w:p w14:paraId="5C0F0E67">
      <w:pPr>
        <w:rPr>
          <w:rFonts w:hint="eastAsia" w:ascii="宋体" w:hAnsi="宋体" w:eastAsia="宋体" w:cs="宋体"/>
          <w:b/>
          <w:color w:val="auto"/>
          <w:sz w:val="28"/>
          <w:szCs w:val="28"/>
          <w:highlight w:val="none"/>
        </w:rPr>
      </w:pPr>
    </w:p>
    <w:p w14:paraId="016D11B1">
      <w:pPr>
        <w:rPr>
          <w:rFonts w:hint="eastAsia" w:ascii="宋体" w:hAnsi="宋体" w:eastAsia="宋体" w:cs="宋体"/>
          <w:b/>
          <w:color w:val="auto"/>
          <w:sz w:val="28"/>
          <w:szCs w:val="28"/>
          <w:highlight w:val="none"/>
        </w:rPr>
      </w:pPr>
    </w:p>
    <w:p w14:paraId="66EA108D">
      <w:pPr>
        <w:rPr>
          <w:rFonts w:hint="eastAsia" w:ascii="宋体" w:hAnsi="宋体" w:eastAsia="宋体" w:cs="宋体"/>
          <w:b/>
          <w:color w:val="auto"/>
          <w:sz w:val="28"/>
          <w:szCs w:val="28"/>
          <w:highlight w:val="none"/>
        </w:rPr>
      </w:pPr>
    </w:p>
    <w:p w14:paraId="19480A24">
      <w:pPr>
        <w:rPr>
          <w:rFonts w:hint="eastAsia" w:ascii="宋体" w:hAnsi="宋体" w:eastAsia="宋体" w:cs="宋体"/>
          <w:b/>
          <w:color w:val="auto"/>
          <w:sz w:val="28"/>
          <w:szCs w:val="28"/>
          <w:highlight w:val="none"/>
        </w:rPr>
      </w:pPr>
    </w:p>
    <w:p w14:paraId="629C9020">
      <w:pPr>
        <w:ind w:left="0" w:leftChars="0" w:right="2666" w:rightChars="784" w:firstLine="2724" w:firstLineChars="412"/>
        <w:jc w:val="distribute"/>
        <w:rPr>
          <w:rFonts w:hint="eastAsia" w:ascii="宋体" w:hAnsi="宋体" w:eastAsia="宋体" w:cs="宋体"/>
          <w:b/>
          <w:color w:val="auto"/>
          <w:sz w:val="32"/>
          <w:szCs w:val="28"/>
          <w:highlight w:val="none"/>
        </w:rPr>
      </w:pPr>
      <w:r>
        <w:rPr>
          <w:rFonts w:hint="eastAsia" w:ascii="宋体" w:hAnsi="宋体" w:eastAsia="宋体" w:cs="宋体"/>
          <w:b/>
          <w:color w:val="auto"/>
          <w:spacing w:val="170"/>
          <w:sz w:val="32"/>
          <w:szCs w:val="28"/>
          <w:highlight w:val="none"/>
        </w:rPr>
        <mc:AlternateContent>
          <mc:Choice Requires="wps">
            <w:drawing>
              <wp:anchor distT="0" distB="0" distL="114300" distR="114300" simplePos="0" relativeHeight="251659264" behindDoc="0" locked="0" layoutInCell="1" allowOverlap="1">
                <wp:simplePos x="0" y="0"/>
                <wp:positionH relativeFrom="column">
                  <wp:posOffset>4410075</wp:posOffset>
                </wp:positionH>
                <wp:positionV relativeFrom="paragraph">
                  <wp:posOffset>135890</wp:posOffset>
                </wp:positionV>
                <wp:extent cx="723900" cy="457200"/>
                <wp:effectExtent l="4445" t="4445" r="14605" b="14605"/>
                <wp:wrapNone/>
                <wp:docPr id="6" name="文本框 6"/>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14:paraId="116B18BE">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47.25pt;margin-top:10.7pt;height:36pt;width:57pt;z-index:251659264;mso-width-relative:page;mso-height-relative:page;" filled="f" stroked="t" coordsize="21600,21600" o:gfxdata="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J0NF2PZAAAACQEAAA8AAAAAAAAAAQAgAAAA&#10;IgAAAGRycy9kb3ducmV2LnhtbFBLAQIUABQAAAAIAIdO4kDfvZRhCgIAABoEAAAOAAAAAAAAAAEA&#10;IAAAACgBAABkcnMvZTJvRG9jLnhtbFBLBQYAAAAABgAGAFkBAACkBQAAAAA=&#10;">
                <v:fill on="f" focussize="0,0"/>
                <v:stroke color="#FFFFFF" joinstyle="miter"/>
                <v:imagedata o:title=""/>
                <o:lock v:ext="edit" aspectratio="f"/>
                <v:textbox>
                  <w:txbxContent>
                    <w:p w14:paraId="116B18BE">
                      <w:pPr>
                        <w:rPr>
                          <w:rFonts w:hint="eastAsia"/>
                          <w:b/>
                          <w:bCs/>
                          <w:sz w:val="32"/>
                        </w:rPr>
                      </w:pPr>
                      <w:r>
                        <w:rPr>
                          <w:rFonts w:hint="eastAsia"/>
                          <w:b/>
                          <w:bCs/>
                          <w:sz w:val="32"/>
                        </w:rPr>
                        <w:t>制定</w:t>
                      </w:r>
                    </w:p>
                  </w:txbxContent>
                </v:textbox>
              </v:shape>
            </w:pict>
          </mc:Fallback>
        </mc:AlternateContent>
      </w:r>
      <w:r>
        <w:rPr>
          <w:rFonts w:hint="eastAsia" w:ascii="宋体" w:hAnsi="宋体" w:eastAsia="宋体" w:cs="宋体"/>
          <w:b/>
          <w:color w:val="auto"/>
          <w:spacing w:val="170"/>
          <w:sz w:val="32"/>
          <w:szCs w:val="28"/>
          <w:highlight w:val="none"/>
        </w:rPr>
        <w:t>住房城乡建设部</w:t>
      </w:r>
    </w:p>
    <w:p w14:paraId="5880BED9">
      <w:pPr>
        <w:ind w:left="0" w:leftChars="0" w:right="2666" w:rightChars="784" w:firstLine="1324" w:firstLineChars="412"/>
        <w:jc w:val="distribute"/>
        <w:rPr>
          <w:rFonts w:hint="eastAsia" w:ascii="宋体" w:hAnsi="宋体" w:eastAsia="宋体" w:cs="宋体"/>
          <w:b/>
          <w:color w:val="auto"/>
          <w:sz w:val="32"/>
          <w:szCs w:val="28"/>
          <w:highlight w:val="none"/>
        </w:rPr>
      </w:pPr>
      <w:r>
        <w:rPr>
          <w:rFonts w:hint="eastAsia" w:ascii="宋体" w:hAnsi="宋体" w:eastAsia="宋体" w:cs="宋体"/>
          <w:b/>
          <w:color w:val="auto"/>
          <w:sz w:val="32"/>
          <w:szCs w:val="28"/>
          <w:highlight w:val="none"/>
        </w:rPr>
        <w:t>国家工商行政管理总局</w:t>
      </w:r>
    </w:p>
    <w:p w14:paraId="2173A24A">
      <w:pPr>
        <w:widowControl/>
        <w:jc w:val="center"/>
        <w:rPr>
          <w:rFonts w:hint="eastAsia" w:ascii="宋体" w:hAnsi="宋体" w:eastAsia="宋体" w:cs="宋体"/>
          <w:b/>
          <w:bCs/>
          <w:color w:val="auto"/>
          <w:kern w:val="44"/>
          <w:sz w:val="32"/>
          <w:szCs w:val="32"/>
          <w:highlight w:val="none"/>
        </w:rPr>
      </w:pPr>
    </w:p>
    <w:p w14:paraId="4A737398">
      <w:pPr>
        <w:pStyle w:val="4"/>
        <w:tabs>
          <w:tab w:val="left" w:pos="567"/>
        </w:tabs>
        <w:rPr>
          <w:rFonts w:hint="eastAsia" w:ascii="宋体" w:hAnsi="宋体" w:eastAsia="宋体" w:cs="宋体"/>
          <w:b/>
          <w:bCs/>
          <w:color w:val="auto"/>
          <w:kern w:val="44"/>
          <w:sz w:val="32"/>
          <w:szCs w:val="32"/>
          <w:highlight w:val="none"/>
        </w:rPr>
      </w:pPr>
    </w:p>
    <w:p w14:paraId="6C8FF0BB">
      <w:pPr>
        <w:pStyle w:val="4"/>
        <w:tabs>
          <w:tab w:val="left" w:pos="567"/>
        </w:tabs>
        <w:rPr>
          <w:rFonts w:hint="eastAsia" w:ascii="宋体" w:hAnsi="宋体" w:eastAsia="宋体" w:cs="宋体"/>
          <w:b/>
          <w:bCs/>
          <w:color w:val="auto"/>
          <w:kern w:val="44"/>
          <w:sz w:val="32"/>
          <w:szCs w:val="32"/>
          <w:highlight w:val="none"/>
        </w:rPr>
      </w:pPr>
    </w:p>
    <w:p w14:paraId="7973157C">
      <w:pPr>
        <w:pStyle w:val="3"/>
        <w:numPr>
          <w:ilvl w:val="2"/>
          <w:numId w:val="0"/>
        </w:numPr>
        <w:ind w:left="0" w:firstLine="0" w:firstLineChars="0"/>
        <w:jc w:val="center"/>
        <w:rPr>
          <w:rFonts w:hint="eastAsia" w:ascii="宋体" w:hAnsi="宋体" w:eastAsia="宋体" w:cs="宋体"/>
          <w:b/>
          <w:color w:val="auto"/>
          <w:sz w:val="32"/>
          <w:szCs w:val="32"/>
          <w:highlight w:val="none"/>
        </w:rPr>
      </w:pPr>
      <w:bookmarkStart w:id="0" w:name="_Toc32485"/>
      <w:bookmarkStart w:id="1" w:name="_Toc419"/>
      <w:bookmarkStart w:id="2" w:name="_Toc26596"/>
      <w:bookmarkStart w:id="3" w:name="_Toc223"/>
      <w:bookmarkStart w:id="4" w:name="_Toc10072"/>
      <w:bookmarkStart w:id="5" w:name="_Toc18111"/>
      <w:r>
        <w:rPr>
          <w:rFonts w:hint="eastAsia" w:ascii="宋体" w:hAnsi="宋体" w:eastAsia="宋体" w:cs="宋体"/>
          <w:b/>
          <w:color w:val="auto"/>
          <w:sz w:val="32"/>
          <w:szCs w:val="32"/>
          <w:highlight w:val="none"/>
        </w:rPr>
        <w:t xml:space="preserve">第一部分 </w:t>
      </w:r>
      <w:r>
        <w:rPr>
          <w:rFonts w:hint="eastAsia" w:ascii="宋体" w:hAnsi="宋体" w:eastAsia="宋体" w:cs="宋体"/>
          <w:b/>
          <w:color w:val="auto"/>
          <w:sz w:val="32"/>
          <w:szCs w:val="32"/>
          <w:highlight w:val="none"/>
          <w:lang w:val="en-US" w:eastAsia="zh-CN"/>
        </w:rPr>
        <w:t xml:space="preserve"> </w:t>
      </w:r>
      <w:r>
        <w:rPr>
          <w:rFonts w:hint="eastAsia" w:ascii="宋体" w:hAnsi="宋体" w:eastAsia="宋体" w:cs="宋体"/>
          <w:b/>
          <w:color w:val="auto"/>
          <w:sz w:val="32"/>
          <w:szCs w:val="32"/>
          <w:highlight w:val="none"/>
        </w:rPr>
        <w:t>合同协议书</w:t>
      </w:r>
      <w:bookmarkEnd w:id="0"/>
      <w:bookmarkEnd w:id="1"/>
      <w:bookmarkEnd w:id="2"/>
      <w:bookmarkEnd w:id="3"/>
      <w:bookmarkEnd w:id="4"/>
      <w:bookmarkEnd w:id="5"/>
    </w:p>
    <w:p w14:paraId="5F96688A">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color w:val="auto"/>
          <w:sz w:val="24"/>
          <w:szCs w:val="24"/>
          <w:highlight w:val="none"/>
          <w:u w:val="single"/>
          <w:lang w:val="en-US" w:eastAsia="zh-CN"/>
        </w:rPr>
      </w:pPr>
      <w:r>
        <w:rPr>
          <w:rFonts w:hint="eastAsia" w:ascii="宋体" w:hAnsi="宋体" w:eastAsia="宋体" w:cs="宋体"/>
          <w:b/>
          <w:color w:val="auto"/>
          <w:sz w:val="24"/>
          <w:szCs w:val="24"/>
          <w:highlight w:val="none"/>
        </w:rPr>
        <w:t>发包人（全称）：</w:t>
      </w:r>
      <w:r>
        <w:rPr>
          <w:rFonts w:hint="eastAsia" w:hAnsi="宋体" w:cs="宋体"/>
          <w:b/>
          <w:color w:val="auto"/>
          <w:sz w:val="24"/>
          <w:szCs w:val="24"/>
          <w:highlight w:val="none"/>
          <w:u w:val="single"/>
          <w:lang w:val="en-US" w:eastAsia="zh-CN"/>
        </w:rPr>
        <w:t>白水县农业农村局</w:t>
      </w:r>
    </w:p>
    <w:p w14:paraId="125C7C6C">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color w:val="auto"/>
          <w:sz w:val="24"/>
          <w:szCs w:val="24"/>
          <w:highlight w:val="none"/>
          <w:u w:val="single"/>
          <w:lang w:val="en-US"/>
        </w:rPr>
      </w:pPr>
      <w:r>
        <w:rPr>
          <w:rFonts w:hint="eastAsia" w:ascii="宋体" w:hAnsi="宋体" w:eastAsia="宋体" w:cs="宋体"/>
          <w:b/>
          <w:color w:val="auto"/>
          <w:sz w:val="24"/>
          <w:szCs w:val="24"/>
          <w:highlight w:val="none"/>
        </w:rPr>
        <w:t>承包人（全称）：</w:t>
      </w:r>
      <w:r>
        <w:rPr>
          <w:rFonts w:hint="eastAsia" w:ascii="宋体" w:hAnsi="宋体" w:eastAsia="宋体" w:cs="宋体"/>
          <w:b/>
          <w:color w:val="auto"/>
          <w:sz w:val="24"/>
          <w:szCs w:val="24"/>
          <w:highlight w:val="none"/>
          <w:u w:val="single"/>
          <w:lang w:val="en-US" w:eastAsia="zh-CN"/>
        </w:rPr>
        <w:t xml:space="preserve">                             </w:t>
      </w:r>
    </w:p>
    <w:p w14:paraId="71D67929">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根据《中华人民共和国</w:t>
      </w:r>
      <w:r>
        <w:rPr>
          <w:rFonts w:hint="eastAsia" w:ascii="宋体" w:hAnsi="宋体" w:eastAsia="宋体" w:cs="宋体"/>
          <w:color w:val="auto"/>
          <w:sz w:val="24"/>
          <w:szCs w:val="24"/>
          <w:highlight w:val="none"/>
          <w:lang w:eastAsia="zh-CN"/>
        </w:rPr>
        <w:t>民法典</w:t>
      </w:r>
      <w:r>
        <w:rPr>
          <w:rFonts w:hint="eastAsia" w:ascii="宋体" w:hAnsi="宋体" w:eastAsia="宋体" w:cs="宋体"/>
          <w:color w:val="auto"/>
          <w:sz w:val="24"/>
          <w:szCs w:val="24"/>
          <w:highlight w:val="none"/>
        </w:rPr>
        <w:t>》、《中华人民共和国建筑法》及有关法律规定，遵循平等、自愿、公平和诚实信用的原则，双方就</w:t>
      </w:r>
      <w:r>
        <w:rPr>
          <w:rFonts w:hint="eastAsia" w:ascii="宋体" w:hAnsi="宋体" w:eastAsia="宋体" w:cs="宋体"/>
          <w:color w:val="auto"/>
          <w:sz w:val="24"/>
          <w:szCs w:val="24"/>
          <w:highlight w:val="none"/>
          <w:u w:val="single"/>
        </w:rPr>
        <w:t xml:space="preserve"> </w:t>
      </w:r>
      <w:r>
        <w:rPr>
          <w:rFonts w:hint="eastAsia" w:hAnsi="宋体" w:cs="宋体"/>
          <w:b/>
          <w:bCs/>
          <w:color w:val="auto"/>
          <w:sz w:val="24"/>
          <w:szCs w:val="24"/>
          <w:highlight w:val="none"/>
          <w:u w:val="single"/>
          <w:lang w:eastAsia="zh-CN"/>
        </w:rPr>
        <w:t>2025年白水县城关街道办北关村集体经济物流市场提升改造项目</w:t>
      </w:r>
      <w:r>
        <w:rPr>
          <w:rFonts w:hint="eastAsia" w:ascii="宋体" w:hAnsi="宋体" w:eastAsia="宋体" w:cs="宋体"/>
          <w:b/>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工程施工及有关事项协商一致，共同达成如下协议：</w:t>
      </w:r>
    </w:p>
    <w:p w14:paraId="26CE9C46">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6" w:name="_Toc21624"/>
      <w:r>
        <w:rPr>
          <w:rFonts w:hint="eastAsia" w:ascii="宋体" w:hAnsi="宋体" w:eastAsia="宋体" w:cs="宋体"/>
          <w:b/>
          <w:bCs w:val="0"/>
          <w:color w:val="auto"/>
          <w:sz w:val="24"/>
          <w:szCs w:val="24"/>
          <w:highlight w:val="none"/>
        </w:rPr>
        <w:t>一、工程概况</w:t>
      </w:r>
      <w:bookmarkEnd w:id="6"/>
    </w:p>
    <w:p w14:paraId="50F16F5D">
      <w:pPr>
        <w:keepNext w:val="0"/>
        <w:keepLines w:val="0"/>
        <w:pageBreakBefore w:val="0"/>
        <w:kinsoku/>
        <w:wordWrap/>
        <w:overflowPunct/>
        <w:topLinePunct w:val="0"/>
        <w:bidi w:val="0"/>
        <w:snapToGrid/>
        <w:spacing w:line="460" w:lineRule="exact"/>
        <w:ind w:firstLine="470" w:firstLineChars="196"/>
        <w:textAlignment w:val="auto"/>
        <w:rPr>
          <w:rFonts w:hint="default" w:ascii="宋体" w:hAnsi="宋体" w:eastAsia="宋体" w:cs="宋体"/>
          <w:color w:val="auto"/>
          <w:sz w:val="24"/>
          <w:szCs w:val="24"/>
          <w:highlight w:val="none"/>
          <w:u w:val="single"/>
          <w:lang w:val="en-US"/>
        </w:rPr>
      </w:pPr>
      <w:r>
        <w:rPr>
          <w:rFonts w:hint="eastAsia" w:ascii="宋体" w:hAnsi="宋体" w:eastAsia="宋体" w:cs="宋体"/>
          <w:bCs/>
          <w:color w:val="auto"/>
          <w:sz w:val="24"/>
          <w:szCs w:val="24"/>
          <w:highlight w:val="none"/>
        </w:rPr>
        <w:t>1.工程名称</w:t>
      </w:r>
      <w:r>
        <w:rPr>
          <w:rFonts w:hint="eastAsia" w:ascii="宋体" w:hAnsi="宋体" w:eastAsia="宋体" w:cs="宋体"/>
          <w:color w:val="auto"/>
          <w:sz w:val="24"/>
          <w:szCs w:val="24"/>
          <w:highlight w:val="none"/>
        </w:rPr>
        <w:t>：</w:t>
      </w:r>
      <w:r>
        <w:rPr>
          <w:rFonts w:hint="eastAsia" w:hAnsi="宋体" w:cs="宋体"/>
          <w:b/>
          <w:color w:val="auto"/>
          <w:sz w:val="24"/>
          <w:szCs w:val="24"/>
          <w:highlight w:val="none"/>
          <w:u w:val="single"/>
          <w:lang w:val="en-US" w:eastAsia="zh-CN"/>
        </w:rPr>
        <w:t>2025年白水县城关街道办北关村集体经济物流市场提升改造项目</w:t>
      </w:r>
    </w:p>
    <w:p w14:paraId="241AB0FF">
      <w:pPr>
        <w:keepNext w:val="0"/>
        <w:keepLines w:val="0"/>
        <w:pageBreakBefore w:val="0"/>
        <w:kinsoku/>
        <w:wordWrap/>
        <w:overflowPunct/>
        <w:topLinePunct w:val="0"/>
        <w:bidi w:val="0"/>
        <w:snapToGrid/>
        <w:spacing w:line="460" w:lineRule="exact"/>
        <w:ind w:firstLine="470" w:firstLineChars="196"/>
        <w:textAlignment w:val="auto"/>
        <w:rPr>
          <w:rFonts w:hint="default" w:ascii="宋体" w:hAnsi="宋体" w:eastAsia="宋体" w:cs="宋体"/>
          <w:b/>
          <w:color w:val="auto"/>
          <w:sz w:val="24"/>
          <w:szCs w:val="24"/>
          <w:highlight w:val="none"/>
          <w:u w:val="single"/>
          <w:lang w:val="en-US" w:eastAsia="zh-CN"/>
        </w:rPr>
      </w:pPr>
      <w:r>
        <w:rPr>
          <w:rFonts w:hint="eastAsia" w:ascii="宋体" w:hAnsi="宋体" w:eastAsia="宋体" w:cs="宋体"/>
          <w:bCs/>
          <w:color w:val="auto"/>
          <w:sz w:val="24"/>
          <w:szCs w:val="24"/>
          <w:highlight w:val="none"/>
        </w:rPr>
        <w:t>2.工程地点：</w:t>
      </w:r>
      <w:r>
        <w:rPr>
          <w:rFonts w:hint="eastAsia" w:hAnsi="宋体" w:cs="宋体"/>
          <w:b/>
          <w:color w:val="auto"/>
          <w:sz w:val="24"/>
          <w:szCs w:val="24"/>
          <w:highlight w:val="none"/>
          <w:u w:val="single"/>
          <w:lang w:val="en-US" w:eastAsia="zh-CN"/>
        </w:rPr>
        <w:t>白水县城关街道办北关村</w:t>
      </w:r>
    </w:p>
    <w:p w14:paraId="7CECF761">
      <w:pPr>
        <w:keepNext w:val="0"/>
        <w:keepLines w:val="0"/>
        <w:pageBreakBefore w:val="0"/>
        <w:kinsoku/>
        <w:wordWrap/>
        <w:overflowPunct/>
        <w:topLinePunct w:val="0"/>
        <w:bidi w:val="0"/>
        <w:snapToGrid/>
        <w:spacing w:line="460" w:lineRule="exact"/>
        <w:ind w:firstLine="470" w:firstLineChars="196"/>
        <w:textAlignment w:val="auto"/>
        <w:rPr>
          <w:rFonts w:hint="default" w:ascii="宋体" w:hAnsi="宋体" w:eastAsia="宋体" w:cs="宋体"/>
          <w:bCs/>
          <w:color w:val="auto"/>
          <w:sz w:val="24"/>
          <w:szCs w:val="24"/>
          <w:highlight w:val="none"/>
          <w:lang w:val="en-US"/>
        </w:rPr>
      </w:pPr>
      <w:r>
        <w:rPr>
          <w:rFonts w:hint="eastAsia" w:ascii="宋体" w:hAnsi="宋体" w:eastAsia="宋体" w:cs="宋体"/>
          <w:bCs/>
          <w:color w:val="auto"/>
          <w:sz w:val="24"/>
          <w:szCs w:val="24"/>
          <w:highlight w:val="none"/>
        </w:rPr>
        <w:t>3.工程立项批准文号：</w:t>
      </w:r>
      <w:r>
        <w:rPr>
          <w:rFonts w:hint="eastAsia" w:hAnsi="宋体" w:cs="宋体"/>
          <w:b/>
          <w:bCs/>
          <w:color w:val="auto"/>
          <w:sz w:val="24"/>
          <w:highlight w:val="none"/>
          <w:u w:val="single"/>
          <w:lang w:val="en-US" w:eastAsia="zh-CN"/>
        </w:rPr>
        <w:t>白巩衔办发</w:t>
      </w:r>
      <w:r>
        <w:rPr>
          <w:rFonts w:hint="eastAsia" w:ascii="仿宋_GB2312" w:hAnsi="仿宋_GB2312" w:eastAsia="仿宋_GB2312" w:cs="仿宋_GB2312"/>
          <w:b/>
          <w:bCs/>
          <w:color w:val="auto"/>
          <w:sz w:val="24"/>
          <w:highlight w:val="none"/>
          <w:u w:val="single"/>
          <w:lang w:val="en-US" w:eastAsia="zh-CN"/>
        </w:rPr>
        <w:t>〔</w:t>
      </w:r>
      <w:r>
        <w:rPr>
          <w:rFonts w:hint="eastAsia" w:hAnsi="宋体" w:cs="宋体"/>
          <w:b/>
          <w:bCs/>
          <w:color w:val="auto"/>
          <w:sz w:val="24"/>
          <w:highlight w:val="none"/>
          <w:u w:val="single"/>
          <w:lang w:val="en-US" w:eastAsia="zh-CN"/>
        </w:rPr>
        <w:t>2025</w:t>
      </w:r>
      <w:r>
        <w:rPr>
          <w:rFonts w:hint="eastAsia" w:ascii="仿宋_GB2312" w:hAnsi="仿宋_GB2312" w:eastAsia="仿宋_GB2312" w:cs="仿宋_GB2312"/>
          <w:b/>
          <w:bCs/>
          <w:color w:val="auto"/>
          <w:sz w:val="24"/>
          <w:highlight w:val="none"/>
          <w:u w:val="single"/>
          <w:lang w:val="en-US" w:eastAsia="zh-CN"/>
        </w:rPr>
        <w:t>〕</w:t>
      </w:r>
      <w:r>
        <w:rPr>
          <w:rFonts w:hint="eastAsia" w:hAnsi="宋体" w:cs="宋体"/>
          <w:b/>
          <w:bCs/>
          <w:color w:val="auto"/>
          <w:sz w:val="24"/>
          <w:highlight w:val="none"/>
          <w:u w:val="single"/>
          <w:lang w:val="en-US" w:eastAsia="zh-CN"/>
        </w:rPr>
        <w:t>9号</w:t>
      </w:r>
    </w:p>
    <w:p w14:paraId="0E930D87">
      <w:pPr>
        <w:keepNext w:val="0"/>
        <w:keepLines w:val="0"/>
        <w:pageBreakBefore w:val="0"/>
        <w:kinsoku/>
        <w:wordWrap/>
        <w:overflowPunct/>
        <w:topLinePunct w:val="0"/>
        <w:bidi w:val="0"/>
        <w:snapToGrid/>
        <w:spacing w:line="460" w:lineRule="exact"/>
        <w:ind w:firstLine="470" w:firstLineChars="196"/>
        <w:textAlignment w:val="auto"/>
        <w:rPr>
          <w:rFonts w:hint="eastAsia" w:ascii="宋体" w:hAnsi="宋体" w:eastAsia="宋体" w:cs="宋体"/>
          <w:b/>
          <w:color w:val="auto"/>
          <w:sz w:val="24"/>
          <w:szCs w:val="24"/>
          <w:highlight w:val="none"/>
          <w:u w:val="single"/>
          <w:lang w:val="en-US" w:eastAsia="zh-CN"/>
        </w:rPr>
      </w:pPr>
      <w:r>
        <w:rPr>
          <w:rFonts w:hint="eastAsia" w:ascii="宋体" w:hAnsi="宋体" w:eastAsia="宋体" w:cs="宋体"/>
          <w:bCs/>
          <w:color w:val="auto"/>
          <w:sz w:val="24"/>
          <w:szCs w:val="24"/>
          <w:highlight w:val="none"/>
        </w:rPr>
        <w:t>4.资金来源：</w:t>
      </w:r>
      <w:r>
        <w:rPr>
          <w:rFonts w:hint="eastAsia" w:hAnsi="宋体" w:cs="宋体"/>
          <w:b/>
          <w:bCs/>
          <w:color w:val="auto"/>
          <w:sz w:val="24"/>
          <w:highlight w:val="none"/>
          <w:u w:val="single"/>
          <w:lang w:eastAsia="zh-CN"/>
        </w:rPr>
        <w:t>财政衔接推进乡村振兴补助资金</w:t>
      </w:r>
    </w:p>
    <w:p w14:paraId="40F3F802">
      <w:pPr>
        <w:keepNext w:val="0"/>
        <w:keepLines w:val="0"/>
        <w:pageBreakBefore w:val="0"/>
        <w:kinsoku/>
        <w:wordWrap/>
        <w:overflowPunct/>
        <w:topLinePunct w:val="0"/>
        <w:bidi w:val="0"/>
        <w:snapToGrid/>
        <w:spacing w:line="460" w:lineRule="exact"/>
        <w:ind w:firstLine="470" w:firstLineChars="196"/>
        <w:textAlignment w:val="auto"/>
        <w:rPr>
          <w:rFonts w:hint="default" w:ascii="宋体" w:hAnsi="宋体" w:eastAsia="宋体" w:cs="宋体"/>
          <w:b/>
          <w:color w:val="auto"/>
          <w:sz w:val="24"/>
          <w:szCs w:val="24"/>
          <w:highlight w:val="none"/>
          <w:u w:val="single"/>
          <w:lang w:val="en-US" w:eastAsia="zh-CN"/>
        </w:rPr>
      </w:pPr>
      <w:r>
        <w:rPr>
          <w:rFonts w:hint="eastAsia" w:ascii="宋体" w:hAnsi="宋体" w:eastAsia="宋体" w:cs="宋体"/>
          <w:bCs/>
          <w:color w:val="auto"/>
          <w:sz w:val="24"/>
          <w:szCs w:val="24"/>
          <w:highlight w:val="none"/>
        </w:rPr>
        <w:t>5.工程内容：</w:t>
      </w:r>
      <w:r>
        <w:rPr>
          <w:rFonts w:hint="eastAsia" w:hAnsi="宋体" w:cs="宋体"/>
          <w:b/>
          <w:color w:val="auto"/>
          <w:sz w:val="24"/>
          <w:szCs w:val="24"/>
          <w:highlight w:val="none"/>
          <w:u w:val="single"/>
          <w:lang w:val="en-US" w:eastAsia="zh-CN"/>
        </w:rPr>
        <w:t>商铺一,地上一层;平面布置为矩形,轴线尺寸为6.30mX12.00m;消防建筑高度4.45m,女儿墙高度0.9m,规划建筑高度5.35m,建筑面积449.48㎡。商铺二,地上一层:平面布置为矩形,轴线尺寸为39.60mX126.00m;消防建筑高度4.45m,女儿墙高度0.9m,规划建筑高度5.35m,建筑面积 260.65㎡。商铺四电气改造。</w:t>
      </w:r>
    </w:p>
    <w:p w14:paraId="0EA49088">
      <w:pPr>
        <w:keepNext w:val="0"/>
        <w:keepLines w:val="0"/>
        <w:pageBreakBefore w:val="0"/>
        <w:kinsoku/>
        <w:wordWrap/>
        <w:overflowPunct/>
        <w:topLinePunct w:val="0"/>
        <w:bidi w:val="0"/>
        <w:snapToGrid/>
        <w:spacing w:line="460" w:lineRule="exact"/>
        <w:ind w:firstLine="470" w:firstLineChars="196"/>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6.工程承包范围：</w:t>
      </w:r>
      <w:r>
        <w:rPr>
          <w:rFonts w:hint="eastAsia" w:ascii="宋体" w:hAnsi="宋体" w:eastAsia="宋体" w:cs="宋体"/>
          <w:b/>
          <w:color w:val="auto"/>
          <w:sz w:val="24"/>
          <w:szCs w:val="24"/>
          <w:highlight w:val="none"/>
          <w:u w:val="single"/>
          <w:lang w:val="en-US" w:eastAsia="zh-CN"/>
        </w:rPr>
        <w:t xml:space="preserve">施工图纸及工程量清单明确的内容 </w:t>
      </w:r>
      <w:r>
        <w:rPr>
          <w:rFonts w:hint="eastAsia" w:ascii="宋体" w:hAnsi="宋体" w:eastAsia="宋体" w:cs="宋体"/>
          <w:color w:val="auto"/>
          <w:sz w:val="24"/>
          <w:szCs w:val="24"/>
          <w:highlight w:val="none"/>
        </w:rPr>
        <w:t>。</w:t>
      </w:r>
      <w:bookmarkStart w:id="1432" w:name="_GoBack"/>
      <w:bookmarkEnd w:id="1432"/>
    </w:p>
    <w:p w14:paraId="31371E35">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7" w:name="_Toc10550"/>
      <w:r>
        <w:rPr>
          <w:rFonts w:hint="eastAsia" w:ascii="宋体" w:hAnsi="宋体" w:eastAsia="宋体" w:cs="宋体"/>
          <w:b/>
          <w:bCs w:val="0"/>
          <w:color w:val="auto"/>
          <w:sz w:val="24"/>
          <w:szCs w:val="24"/>
          <w:highlight w:val="none"/>
        </w:rPr>
        <w:t>二、合同工期</w:t>
      </w:r>
      <w:bookmarkEnd w:id="7"/>
    </w:p>
    <w:p w14:paraId="07429432">
      <w:pPr>
        <w:keepNext w:val="0"/>
        <w:keepLines w:val="0"/>
        <w:pageBreakBefore w:val="0"/>
        <w:kinsoku/>
        <w:wordWrap/>
        <w:overflowPunct/>
        <w:topLinePunct w:val="0"/>
        <w:bidi w:val="0"/>
        <w:snapToGrid/>
        <w:spacing w:line="460" w:lineRule="exact"/>
        <w:ind w:firstLine="459"/>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计划开工日期：</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日。</w:t>
      </w:r>
    </w:p>
    <w:p w14:paraId="1CE4D775">
      <w:pPr>
        <w:keepNext w:val="0"/>
        <w:keepLines w:val="0"/>
        <w:pageBreakBefore w:val="0"/>
        <w:kinsoku/>
        <w:wordWrap/>
        <w:overflowPunct/>
        <w:topLinePunct w:val="0"/>
        <w:bidi w:val="0"/>
        <w:snapToGrid/>
        <w:spacing w:line="460" w:lineRule="exact"/>
        <w:ind w:firstLine="459"/>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计划竣工日期：</w:t>
      </w:r>
      <w:r>
        <w:rPr>
          <w:rFonts w:hint="eastAsia" w:ascii="宋体" w:hAnsi="宋体" w:eastAsia="宋体" w:cs="宋体"/>
          <w:color w:val="auto"/>
          <w:sz w:val="24"/>
          <w:szCs w:val="24"/>
          <w:highlight w:val="none"/>
          <w:u w:val="single"/>
          <w:lang w:eastAsia="zh-CN"/>
        </w:rPr>
        <w:t xml:space="preserve">  </w:t>
      </w:r>
      <w:r>
        <w:rPr>
          <w:rFonts w:hint="eastAsia"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日。</w:t>
      </w:r>
    </w:p>
    <w:p w14:paraId="78A6C4EE">
      <w:pPr>
        <w:keepNext w:val="0"/>
        <w:keepLines w:val="0"/>
        <w:pageBreakBefore w:val="0"/>
        <w:kinsoku/>
        <w:wordWrap/>
        <w:overflowPunct/>
        <w:topLinePunct w:val="0"/>
        <w:bidi w:val="0"/>
        <w:snapToGrid/>
        <w:spacing w:line="460" w:lineRule="exact"/>
        <w:ind w:firstLine="459"/>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工期总日历天数：</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天。工期总日历天数与根据前述计划开竣工日期计算的工期天数不一致的，以工期总日历天数为准。</w:t>
      </w:r>
    </w:p>
    <w:p w14:paraId="1711A699">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8" w:name="_Toc26761"/>
      <w:r>
        <w:rPr>
          <w:rFonts w:hint="eastAsia" w:ascii="宋体" w:hAnsi="宋体" w:eastAsia="宋体" w:cs="宋体"/>
          <w:b/>
          <w:bCs w:val="0"/>
          <w:color w:val="auto"/>
          <w:sz w:val="24"/>
          <w:szCs w:val="24"/>
          <w:highlight w:val="none"/>
        </w:rPr>
        <w:t>三、质量标准</w:t>
      </w:r>
      <w:bookmarkEnd w:id="8"/>
    </w:p>
    <w:p w14:paraId="760C4793">
      <w:pPr>
        <w:keepNext w:val="0"/>
        <w:keepLines w:val="0"/>
        <w:pageBreakBefore w:val="0"/>
        <w:kinsoku/>
        <w:wordWrap/>
        <w:overflowPunct/>
        <w:topLinePunct w:val="0"/>
        <w:bidi w:val="0"/>
        <w:snapToGrid/>
        <w:spacing w:line="460" w:lineRule="exact"/>
        <w:ind w:firstLine="459"/>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工程质量符合</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b/>
          <w:bCs/>
          <w:color w:val="auto"/>
          <w:sz w:val="24"/>
          <w:szCs w:val="24"/>
          <w:highlight w:val="none"/>
          <w:u w:val="single"/>
          <w:lang w:eastAsia="zh-CN"/>
        </w:rPr>
        <w:t>合格</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标准。</w:t>
      </w:r>
    </w:p>
    <w:p w14:paraId="5F2C12A9">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lang w:eastAsia="zh-CN"/>
        </w:rPr>
      </w:pPr>
      <w:bookmarkStart w:id="9" w:name="_Toc30748"/>
      <w:r>
        <w:rPr>
          <w:rFonts w:hint="eastAsia" w:ascii="宋体" w:hAnsi="宋体" w:eastAsia="宋体" w:cs="宋体"/>
          <w:b/>
          <w:bCs w:val="0"/>
          <w:color w:val="auto"/>
          <w:sz w:val="24"/>
          <w:szCs w:val="24"/>
          <w:highlight w:val="none"/>
        </w:rPr>
        <w:t>四、签约合同价与合同价格形式</w:t>
      </w:r>
      <w:bookmarkEnd w:id="9"/>
    </w:p>
    <w:p w14:paraId="5A436162">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1.签约合同价为：</w:t>
      </w:r>
    </w:p>
    <w:p w14:paraId="5ACA8DA9">
      <w:pPr>
        <w:keepNext w:val="0"/>
        <w:keepLines w:val="0"/>
        <w:pageBreakBefore w:val="0"/>
        <w:kinsoku/>
        <w:wordWrap/>
        <w:overflowPunct/>
        <w:topLinePunct w:val="0"/>
        <w:bidi w:val="0"/>
        <w:snapToGrid/>
        <w:spacing w:line="460" w:lineRule="exact"/>
        <w:ind w:firstLine="600" w:firstLineChars="2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14:paraId="0571C672">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其中：</w:t>
      </w:r>
    </w:p>
    <w:p w14:paraId="7F72AC51">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（1）安全文明施工费：</w:t>
      </w:r>
    </w:p>
    <w:p w14:paraId="26159998">
      <w:pPr>
        <w:keepNext w:val="0"/>
        <w:keepLines w:val="0"/>
        <w:pageBreakBefore w:val="0"/>
        <w:kinsoku/>
        <w:wordWrap/>
        <w:overflowPunct/>
        <w:topLinePunct w:val="0"/>
        <w:bidi w:val="0"/>
        <w:snapToGrid/>
        <w:spacing w:line="460" w:lineRule="exact"/>
        <w:ind w:firstLine="1080" w:firstLineChars="4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14:paraId="61CF61AC">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（2）材料和工程设备暂估价金额：</w:t>
      </w:r>
    </w:p>
    <w:p w14:paraId="751ADCE1">
      <w:pPr>
        <w:keepNext w:val="0"/>
        <w:keepLines w:val="0"/>
        <w:pageBreakBefore w:val="0"/>
        <w:kinsoku/>
        <w:wordWrap/>
        <w:overflowPunct/>
        <w:topLinePunct w:val="0"/>
        <w:bidi w:val="0"/>
        <w:snapToGrid/>
        <w:spacing w:line="460" w:lineRule="exact"/>
        <w:ind w:firstLine="1080" w:firstLineChars="4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14:paraId="0F5341F5">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（3）专业工程暂估价金额：</w:t>
      </w:r>
    </w:p>
    <w:p w14:paraId="5C2F8836">
      <w:pPr>
        <w:keepNext w:val="0"/>
        <w:keepLines w:val="0"/>
        <w:pageBreakBefore w:val="0"/>
        <w:kinsoku/>
        <w:wordWrap/>
        <w:overflowPunct/>
        <w:topLinePunct w:val="0"/>
        <w:bidi w:val="0"/>
        <w:snapToGrid/>
        <w:spacing w:line="460" w:lineRule="exact"/>
        <w:ind w:firstLine="1080" w:firstLineChars="4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14:paraId="7A6BCA63">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（4）暂列金额：</w:t>
      </w:r>
    </w:p>
    <w:p w14:paraId="1EB7C3C6">
      <w:pPr>
        <w:keepNext w:val="0"/>
        <w:keepLines w:val="0"/>
        <w:pageBreakBefore w:val="0"/>
        <w:kinsoku/>
        <w:wordWrap/>
        <w:overflowPunct/>
        <w:topLinePunct w:val="0"/>
        <w:bidi w:val="0"/>
        <w:snapToGrid/>
        <w:spacing w:line="460" w:lineRule="exact"/>
        <w:ind w:firstLine="1080" w:firstLineChars="4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14:paraId="053073BA">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2.合同价格形式：</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b/>
          <w:bCs/>
          <w:color w:val="auto"/>
          <w:sz w:val="24"/>
          <w:szCs w:val="24"/>
          <w:highlight w:val="none"/>
          <w:u w:val="single"/>
          <w:lang w:eastAsia="zh-CN"/>
        </w:rPr>
        <w:t>单价合同</w:t>
      </w:r>
      <w:r>
        <w:rPr>
          <w:rFonts w:hint="eastAsia" w:ascii="宋体" w:hAnsi="宋体" w:eastAsia="宋体" w:cs="宋体"/>
          <w:b/>
          <w:bCs/>
          <w:color w:val="auto"/>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5B2F266E">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0" w:name="_Toc3630"/>
      <w:r>
        <w:rPr>
          <w:rFonts w:hint="eastAsia" w:ascii="宋体" w:hAnsi="宋体" w:eastAsia="宋体" w:cs="宋体"/>
          <w:b/>
          <w:bCs w:val="0"/>
          <w:color w:val="auto"/>
          <w:sz w:val="24"/>
          <w:szCs w:val="24"/>
          <w:highlight w:val="none"/>
        </w:rPr>
        <w:t>五、项目经理</w:t>
      </w:r>
      <w:bookmarkEnd w:id="10"/>
    </w:p>
    <w:p w14:paraId="10379047">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承包人项目经理：</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5E30CA5B">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1" w:name="_Toc13640"/>
      <w:r>
        <w:rPr>
          <w:rFonts w:hint="eastAsia" w:ascii="宋体" w:hAnsi="宋体" w:eastAsia="宋体" w:cs="宋体"/>
          <w:b/>
          <w:bCs w:val="0"/>
          <w:color w:val="auto"/>
          <w:sz w:val="24"/>
          <w:szCs w:val="24"/>
          <w:highlight w:val="none"/>
        </w:rPr>
        <w:t>六、合同文件构成</w:t>
      </w:r>
      <w:bookmarkEnd w:id="11"/>
    </w:p>
    <w:p w14:paraId="0996C821">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本协议书与下列文件一起构成合同文件：</w:t>
      </w:r>
    </w:p>
    <w:p w14:paraId="707E8DAA">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（1）中标通知书（如果有）；</w:t>
      </w:r>
    </w:p>
    <w:p w14:paraId="1BE1A0D7">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（2）投标函及其附录（如果有）； </w:t>
      </w:r>
    </w:p>
    <w:p w14:paraId="6BBA50BE">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（3）专用合同条款及其附件；</w:t>
      </w:r>
    </w:p>
    <w:p w14:paraId="6E55BA71">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（4）通用合同条款；</w:t>
      </w:r>
    </w:p>
    <w:p w14:paraId="66BC989A">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（5）技术标准和要求；</w:t>
      </w:r>
    </w:p>
    <w:p w14:paraId="625806EA">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（6）图纸；</w:t>
      </w:r>
    </w:p>
    <w:p w14:paraId="0036184F">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（7）已标价工程量清单或预算书；</w:t>
      </w:r>
    </w:p>
    <w:p w14:paraId="5A0D0B35">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（8）其他合同文件。</w:t>
      </w:r>
    </w:p>
    <w:p w14:paraId="2B39E6BA">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在合同订立及履行过程中形成的与合同有关的文件均构成合同文件组成部分。</w:t>
      </w:r>
    </w:p>
    <w:p w14:paraId="76CBF8A1">
      <w:pPr>
        <w:keepNext w:val="0"/>
        <w:keepLines w:val="0"/>
        <w:pageBreakBefore w:val="0"/>
        <w:kinsoku/>
        <w:wordWrap/>
        <w:overflowPunct/>
        <w:topLinePunct w:val="0"/>
        <w:autoSpaceDE w:val="0"/>
        <w:autoSpaceDN w:val="0"/>
        <w:bidi w:val="0"/>
        <w:adjustRightInd w:val="0"/>
        <w:snapToGrid/>
        <w:spacing w:line="46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上述各项合同文件包括合同当事人就该项合同文件所作出的补充和修改，属于同一类内容的文件，应以最新签署的为准。专用合同条款及其附件须经合同当事人签字或盖章。</w:t>
      </w:r>
    </w:p>
    <w:p w14:paraId="2A6EAFAE">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2" w:name="_Toc7416"/>
      <w:r>
        <w:rPr>
          <w:rFonts w:hint="eastAsia" w:ascii="宋体" w:hAnsi="宋体" w:eastAsia="宋体" w:cs="宋体"/>
          <w:b/>
          <w:bCs w:val="0"/>
          <w:color w:val="auto"/>
          <w:sz w:val="24"/>
          <w:szCs w:val="24"/>
          <w:highlight w:val="none"/>
        </w:rPr>
        <w:t>七、承诺</w:t>
      </w:r>
      <w:bookmarkEnd w:id="12"/>
    </w:p>
    <w:p w14:paraId="4483C85C">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1.发包人承诺按照法律规定履行项目审批手续、筹集工程建设资金并按照合同约定的期限和方式支付合同价款。</w:t>
      </w:r>
    </w:p>
    <w:p w14:paraId="360EEADA">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2.承包人承诺按照法律规定及合同约定组织完成工程施工，确保工程质量和安全，不进行转包及违法分包，并在缺陷责任期及保修期内承担相应的工程维修责任。</w:t>
      </w:r>
    </w:p>
    <w:p w14:paraId="2787CE8B">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3.发包人和承包人通过招投标形式签订合同的，双方理解并承诺不再就同一工程另行签订与合同实质性内容相背离的协议。</w:t>
      </w:r>
    </w:p>
    <w:p w14:paraId="366FE2EE">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3" w:name="_Toc17444"/>
      <w:r>
        <w:rPr>
          <w:rFonts w:hint="eastAsia" w:ascii="宋体" w:hAnsi="宋体" w:eastAsia="宋体" w:cs="宋体"/>
          <w:b/>
          <w:bCs w:val="0"/>
          <w:color w:val="auto"/>
          <w:sz w:val="24"/>
          <w:szCs w:val="24"/>
          <w:highlight w:val="none"/>
        </w:rPr>
        <w:t>八、词语含义</w:t>
      </w:r>
      <w:bookmarkEnd w:id="13"/>
    </w:p>
    <w:p w14:paraId="30C2842B">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本协议书中词语含义与第二部分通用合同条款中赋予的含义相同。</w:t>
      </w:r>
    </w:p>
    <w:p w14:paraId="02797807">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4" w:name="_Toc5207"/>
      <w:r>
        <w:rPr>
          <w:rFonts w:hint="eastAsia" w:ascii="宋体" w:hAnsi="宋体" w:eastAsia="宋体" w:cs="宋体"/>
          <w:b/>
          <w:bCs w:val="0"/>
          <w:color w:val="auto"/>
          <w:sz w:val="24"/>
          <w:szCs w:val="24"/>
          <w:highlight w:val="none"/>
        </w:rPr>
        <w:t>九、签订时间</w:t>
      </w:r>
      <w:bookmarkEnd w:id="14"/>
    </w:p>
    <w:p w14:paraId="26D919AD">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本合同于</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年</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月</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日签订。</w:t>
      </w:r>
    </w:p>
    <w:p w14:paraId="23B6358E">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5" w:name="_Toc28999"/>
      <w:r>
        <w:rPr>
          <w:rFonts w:hint="eastAsia" w:ascii="宋体" w:hAnsi="宋体" w:eastAsia="宋体" w:cs="宋体"/>
          <w:b/>
          <w:bCs w:val="0"/>
          <w:color w:val="auto"/>
          <w:sz w:val="24"/>
          <w:szCs w:val="24"/>
          <w:highlight w:val="none"/>
        </w:rPr>
        <w:t>十、签订地点</w:t>
      </w:r>
      <w:bookmarkEnd w:id="15"/>
    </w:p>
    <w:p w14:paraId="7E807B10">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本合同在</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签订。</w:t>
      </w:r>
    </w:p>
    <w:p w14:paraId="1FAED0F0">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6" w:name="_Toc21968"/>
      <w:r>
        <w:rPr>
          <w:rFonts w:hint="eastAsia" w:ascii="宋体" w:hAnsi="宋体" w:eastAsia="宋体" w:cs="宋体"/>
          <w:b/>
          <w:bCs w:val="0"/>
          <w:color w:val="auto"/>
          <w:sz w:val="24"/>
          <w:szCs w:val="24"/>
          <w:highlight w:val="none"/>
        </w:rPr>
        <w:t>十一、补充协议</w:t>
      </w:r>
      <w:bookmarkEnd w:id="16"/>
    </w:p>
    <w:p w14:paraId="18FE0AC4">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Cs/>
          <w:color w:val="auto"/>
          <w:sz w:val="24"/>
          <w:szCs w:val="24"/>
          <w:highlight w:val="none"/>
        </w:rPr>
        <w:t>合同未尽事宜，合同当事人另行签订补充协议，补充协议是合同的组成部分。</w:t>
      </w:r>
    </w:p>
    <w:p w14:paraId="4B350F05">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7" w:name="_Toc19039"/>
      <w:r>
        <w:rPr>
          <w:rFonts w:hint="eastAsia" w:ascii="宋体" w:hAnsi="宋体" w:eastAsia="宋体" w:cs="宋体"/>
          <w:b/>
          <w:bCs w:val="0"/>
          <w:color w:val="auto"/>
          <w:sz w:val="24"/>
          <w:szCs w:val="24"/>
          <w:highlight w:val="none"/>
        </w:rPr>
        <w:t>十二、合同生效</w:t>
      </w:r>
      <w:bookmarkEnd w:id="17"/>
    </w:p>
    <w:p w14:paraId="1E0AE186">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本合同自</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生效。</w:t>
      </w:r>
    </w:p>
    <w:p w14:paraId="67CE4B32">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8" w:name="_Toc2466"/>
      <w:r>
        <w:rPr>
          <w:rFonts w:hint="eastAsia" w:ascii="宋体" w:hAnsi="宋体" w:eastAsia="宋体" w:cs="宋体"/>
          <w:b/>
          <w:bCs w:val="0"/>
          <w:color w:val="auto"/>
          <w:sz w:val="24"/>
          <w:szCs w:val="24"/>
          <w:highlight w:val="none"/>
        </w:rPr>
        <w:t>十三、合同份数</w:t>
      </w:r>
      <w:bookmarkEnd w:id="18"/>
    </w:p>
    <w:p w14:paraId="1122FFD0">
      <w:pPr>
        <w:keepNext w:val="0"/>
        <w:keepLines w:val="0"/>
        <w:pageBreakBefore w:val="0"/>
        <w:kinsoku/>
        <w:wordWrap/>
        <w:overflowPunct/>
        <w:topLinePunct w:val="0"/>
        <w:bidi w:val="0"/>
        <w:snapToGrid/>
        <w:spacing w:line="46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本合同一式</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份，均具有同等法律效力，发包人执</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份，承包人执</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份。</w:t>
      </w:r>
    </w:p>
    <w:p w14:paraId="0BAE0EF7">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rPr>
      </w:pPr>
    </w:p>
    <w:p w14:paraId="62CC71BF">
      <w:pPr>
        <w:pStyle w:val="4"/>
        <w:rPr>
          <w:rFonts w:hint="eastAsia"/>
        </w:rPr>
      </w:pPr>
    </w:p>
    <w:p w14:paraId="12B7D7D5">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发包人：  (公章)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承包人：  (公章)</w:t>
      </w:r>
    </w:p>
    <w:p w14:paraId="007A0DD0">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法定代表人或其委托代理人：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法定代表人或其委托代理人：</w:t>
      </w:r>
    </w:p>
    <w:p w14:paraId="1CD63365">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（签字）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（签字）</w:t>
      </w:r>
    </w:p>
    <w:p w14:paraId="6D5E924C">
      <w:pPr>
        <w:keepNext w:val="0"/>
        <w:keepLines w:val="0"/>
        <w:pageBreakBefore w:val="0"/>
        <w:tabs>
          <w:tab w:val="left" w:pos="4410"/>
        </w:tabs>
        <w:kinsoku/>
        <w:wordWrap/>
        <w:overflowPunct/>
        <w:topLinePunct w:val="0"/>
        <w:bidi w:val="0"/>
        <w:snapToGrid/>
        <w:spacing w:line="46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组织机构代码：</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组织机构代码：</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52FD9FCD">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344310A2">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7945B2E0">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2D3FE027">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1AD7A2EF">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394B63C3">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37B0F274">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146F3E5E">
      <w:pPr>
        <w:keepNext w:val="0"/>
        <w:keepLines w:val="0"/>
        <w:pageBreakBefore w:val="0"/>
        <w:kinsoku/>
        <w:wordWrap/>
        <w:overflowPunct/>
        <w:topLinePunct w:val="0"/>
        <w:bidi w:val="0"/>
        <w:snapToGrid/>
        <w:spacing w:line="4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p>
    <w:p w14:paraId="70E4F3F2">
      <w:pPr>
        <w:keepNext w:val="0"/>
        <w:keepLines w:val="0"/>
        <w:pageBreakBefore w:val="0"/>
        <w:widowControl/>
        <w:kinsoku/>
        <w:wordWrap/>
        <w:overflowPunct/>
        <w:topLinePunct w:val="0"/>
        <w:bidi w:val="0"/>
        <w:snapToGrid/>
        <w:spacing w:line="460" w:lineRule="exact"/>
        <w:jc w:val="left"/>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bookmarkStart w:id="19" w:name="_Toc10931"/>
      <w:bookmarkStart w:id="20" w:name="_Toc18524"/>
      <w:bookmarkStart w:id="21" w:name="_Toc2977"/>
    </w:p>
    <w:p w14:paraId="2293894F">
      <w:pPr>
        <w:pStyle w:val="4"/>
        <w:rPr>
          <w:rFonts w:hint="eastAsia" w:ascii="宋体" w:hAnsi="宋体" w:eastAsia="宋体" w:cs="宋体"/>
          <w:color w:val="auto"/>
          <w:sz w:val="24"/>
          <w:szCs w:val="24"/>
          <w:highlight w:val="none"/>
          <w:u w:val="single"/>
          <w:lang w:val="en-US" w:eastAsia="zh-CN"/>
        </w:rPr>
      </w:pPr>
    </w:p>
    <w:p w14:paraId="39060E6F">
      <w:pPr>
        <w:pStyle w:val="5"/>
        <w:rPr>
          <w:rFonts w:hint="eastAsia"/>
          <w:lang w:val="en-US" w:eastAsia="zh-CN"/>
        </w:rPr>
      </w:pPr>
    </w:p>
    <w:p w14:paraId="38080125">
      <w:pPr>
        <w:rPr>
          <w:rFonts w:hint="eastAsia"/>
          <w:lang w:val="en-US" w:eastAsia="zh-CN"/>
        </w:rPr>
      </w:pPr>
    </w:p>
    <w:p w14:paraId="34DA8AC3">
      <w:pPr>
        <w:pStyle w:val="3"/>
        <w:numPr>
          <w:ilvl w:val="2"/>
          <w:numId w:val="0"/>
        </w:numPr>
        <w:ind w:left="0" w:firstLine="0" w:firstLineChars="0"/>
        <w:jc w:val="center"/>
        <w:rPr>
          <w:rFonts w:hint="eastAsia" w:ascii="宋体" w:hAnsi="宋体" w:eastAsia="宋体" w:cs="宋体"/>
          <w:b/>
          <w:color w:val="auto"/>
          <w:sz w:val="32"/>
          <w:szCs w:val="32"/>
          <w:highlight w:val="none"/>
        </w:rPr>
      </w:pPr>
      <w:bookmarkStart w:id="22" w:name="_Toc25290"/>
      <w:bookmarkStart w:id="23" w:name="_Toc13775"/>
      <w:bookmarkStart w:id="24" w:name="_Toc1542"/>
      <w:r>
        <w:rPr>
          <w:rFonts w:hint="eastAsia" w:ascii="宋体" w:hAnsi="宋体" w:eastAsia="宋体" w:cs="宋体"/>
          <w:b/>
          <w:color w:val="auto"/>
          <w:sz w:val="32"/>
          <w:szCs w:val="32"/>
          <w:highlight w:val="none"/>
        </w:rPr>
        <w:t>第</w:t>
      </w:r>
      <w:r>
        <w:rPr>
          <w:rFonts w:hint="eastAsia" w:ascii="宋体" w:hAnsi="宋体" w:eastAsia="宋体" w:cs="宋体"/>
          <w:b/>
          <w:color w:val="auto"/>
          <w:sz w:val="32"/>
          <w:szCs w:val="32"/>
          <w:highlight w:val="none"/>
          <w:lang w:eastAsia="zh-CN"/>
        </w:rPr>
        <w:t>二</w:t>
      </w:r>
      <w:r>
        <w:rPr>
          <w:rFonts w:hint="eastAsia" w:ascii="宋体" w:hAnsi="宋体" w:eastAsia="宋体" w:cs="宋体"/>
          <w:b/>
          <w:color w:val="auto"/>
          <w:sz w:val="32"/>
          <w:szCs w:val="32"/>
          <w:highlight w:val="none"/>
        </w:rPr>
        <w:t xml:space="preserve">部分 </w:t>
      </w:r>
      <w:r>
        <w:rPr>
          <w:rFonts w:hint="eastAsia" w:ascii="宋体" w:hAnsi="宋体" w:eastAsia="宋体" w:cs="宋体"/>
          <w:b/>
          <w:color w:val="auto"/>
          <w:sz w:val="32"/>
          <w:szCs w:val="32"/>
          <w:highlight w:val="none"/>
          <w:lang w:val="en-US" w:eastAsia="zh-CN"/>
        </w:rPr>
        <w:t xml:space="preserve"> </w:t>
      </w:r>
      <w:r>
        <w:rPr>
          <w:rFonts w:hint="eastAsia" w:ascii="宋体" w:hAnsi="宋体" w:eastAsia="宋体" w:cs="宋体"/>
          <w:b/>
          <w:color w:val="auto"/>
          <w:sz w:val="32"/>
          <w:szCs w:val="32"/>
          <w:highlight w:val="none"/>
        </w:rPr>
        <w:t>通用合同条款</w:t>
      </w:r>
      <w:bookmarkEnd w:id="19"/>
      <w:bookmarkEnd w:id="20"/>
      <w:bookmarkEnd w:id="21"/>
      <w:bookmarkEnd w:id="22"/>
      <w:bookmarkEnd w:id="23"/>
      <w:bookmarkEnd w:id="24"/>
    </w:p>
    <w:p w14:paraId="00DB87C1">
      <w:pPr>
        <w:widowControl/>
        <w:spacing w:line="360" w:lineRule="auto"/>
        <w:ind w:firstLine="480" w:firstLineChars="200"/>
        <w:jc w:val="left"/>
        <w:rPr>
          <w:rFonts w:hint="eastAsia" w:ascii="宋体" w:hAnsi="宋体" w:eastAsia="宋体" w:cs="宋体"/>
          <w:color w:val="auto"/>
          <w:sz w:val="24"/>
          <w:szCs w:val="22"/>
          <w:highlight w:val="none"/>
        </w:rPr>
      </w:pPr>
    </w:p>
    <w:p w14:paraId="5C088143">
      <w:pPr>
        <w:widowControl/>
        <w:spacing w:line="360" w:lineRule="auto"/>
        <w:ind w:firstLine="680" w:firstLineChars="200"/>
        <w:jc w:val="center"/>
        <w:rPr>
          <w:rFonts w:hint="eastAsia" w:ascii="宋体" w:hAnsi="宋体" w:eastAsia="宋体" w:cs="宋体"/>
          <w:color w:val="auto"/>
          <w:highlight w:val="none"/>
          <w:lang w:eastAsia="zh-CN"/>
        </w:rPr>
      </w:pPr>
    </w:p>
    <w:p w14:paraId="55D6B05B">
      <w:pPr>
        <w:pStyle w:val="4"/>
        <w:tabs>
          <w:tab w:val="left" w:pos="567"/>
        </w:tabs>
        <w:rPr>
          <w:rFonts w:hint="eastAsia" w:ascii="宋体" w:hAnsi="宋体" w:eastAsia="宋体" w:cs="宋体"/>
          <w:color w:val="auto"/>
          <w:highlight w:val="none"/>
          <w:lang w:eastAsia="zh-CN"/>
        </w:rPr>
      </w:pPr>
    </w:p>
    <w:p w14:paraId="3E7CFC9E">
      <w:pPr>
        <w:rPr>
          <w:rFonts w:hint="eastAsia" w:ascii="宋体" w:hAnsi="宋体" w:eastAsia="宋体" w:cs="宋体"/>
          <w:color w:val="auto"/>
          <w:highlight w:val="none"/>
          <w:lang w:eastAsia="zh-CN"/>
        </w:rPr>
      </w:pPr>
    </w:p>
    <w:p w14:paraId="58EE5D73">
      <w:pPr>
        <w:widowControl/>
        <w:spacing w:line="360" w:lineRule="auto"/>
        <w:ind w:firstLine="680" w:firstLineChars="200"/>
        <w:jc w:val="center"/>
        <w:rPr>
          <w:rFonts w:hint="eastAsia" w:ascii="宋体" w:hAnsi="宋体" w:eastAsia="宋体" w:cs="宋体"/>
          <w:color w:val="auto"/>
          <w:sz w:val="24"/>
          <w:szCs w:val="22"/>
          <w:highlight w:val="none"/>
        </w:rPr>
      </w:pPr>
      <w:r>
        <w:rPr>
          <w:rFonts w:hint="eastAsia" w:ascii="宋体" w:hAnsi="宋体" w:eastAsia="宋体" w:cs="宋体"/>
          <w:color w:val="auto"/>
          <w:highlight w:val="none"/>
          <w:lang w:eastAsia="zh-CN"/>
        </w:rPr>
        <w:t>略</w:t>
      </w:r>
    </w:p>
    <w:p w14:paraId="55799762">
      <w:pPr>
        <w:widowControl/>
        <w:spacing w:line="360" w:lineRule="auto"/>
        <w:ind w:firstLine="480" w:firstLineChars="200"/>
        <w:jc w:val="left"/>
        <w:rPr>
          <w:rFonts w:hint="eastAsia" w:ascii="宋体" w:hAnsi="宋体" w:eastAsia="宋体" w:cs="宋体"/>
          <w:color w:val="auto"/>
          <w:sz w:val="24"/>
          <w:szCs w:val="22"/>
          <w:highlight w:val="none"/>
        </w:rPr>
      </w:pPr>
    </w:p>
    <w:p w14:paraId="41407871">
      <w:pPr>
        <w:widowControl/>
        <w:spacing w:line="360" w:lineRule="auto"/>
        <w:ind w:firstLine="480" w:firstLineChars="200"/>
        <w:jc w:val="left"/>
        <w:rPr>
          <w:rFonts w:hint="eastAsia" w:ascii="宋体" w:hAnsi="宋体" w:eastAsia="宋体" w:cs="宋体"/>
          <w:color w:val="auto"/>
          <w:sz w:val="24"/>
          <w:szCs w:val="22"/>
          <w:highlight w:val="none"/>
        </w:rPr>
      </w:pPr>
      <w:r>
        <w:rPr>
          <w:rFonts w:hint="eastAsia" w:ascii="宋体" w:hAnsi="宋体" w:eastAsia="宋体" w:cs="宋体"/>
          <w:color w:val="auto"/>
          <w:sz w:val="24"/>
          <w:szCs w:val="22"/>
          <w:highlight w:val="none"/>
        </w:rPr>
        <w:t>（采用住房城乡建设部、国家工商行政管理总局制定的建设工程施工合同示范文本（GF—2017—0201））</w:t>
      </w:r>
    </w:p>
    <w:p w14:paraId="0BDC6703">
      <w:pPr>
        <w:keepNext w:val="0"/>
        <w:keepLines w:val="0"/>
        <w:pageBreakBefore w:val="0"/>
        <w:widowControl/>
        <w:kinsoku/>
        <w:wordWrap/>
        <w:overflowPunct/>
        <w:topLinePunct w:val="0"/>
        <w:autoSpaceDE/>
        <w:autoSpaceDN/>
        <w:bidi w:val="0"/>
        <w:adjustRightInd/>
        <w:snapToGrid/>
        <w:spacing w:line="400" w:lineRule="exact"/>
        <w:ind w:firstLine="480" w:firstLineChars="200"/>
        <w:textAlignment w:val="auto"/>
        <w:outlineLvl w:val="9"/>
        <w:rPr>
          <w:rFonts w:hint="eastAsia" w:ascii="宋体" w:hAnsi="宋体" w:eastAsia="宋体" w:cs="宋体"/>
          <w:color w:val="auto"/>
          <w:kern w:val="0"/>
          <w:sz w:val="24"/>
          <w:szCs w:val="24"/>
          <w:highlight w:val="none"/>
        </w:rPr>
      </w:pPr>
    </w:p>
    <w:p w14:paraId="478FE398">
      <w:pPr>
        <w:pStyle w:val="4"/>
        <w:tabs>
          <w:tab w:val="left" w:pos="567"/>
        </w:tabs>
        <w:rPr>
          <w:rFonts w:hint="eastAsia" w:ascii="宋体" w:hAnsi="宋体" w:eastAsia="宋体" w:cs="宋体"/>
          <w:color w:val="auto"/>
          <w:highlight w:val="none"/>
        </w:rPr>
      </w:pPr>
    </w:p>
    <w:p w14:paraId="14E02858">
      <w:pPr>
        <w:pStyle w:val="4"/>
        <w:tabs>
          <w:tab w:val="left" w:pos="567"/>
        </w:tabs>
        <w:rPr>
          <w:rFonts w:hint="eastAsia" w:ascii="宋体" w:hAnsi="宋体" w:eastAsia="宋体" w:cs="宋体"/>
          <w:color w:val="auto"/>
          <w:highlight w:val="none"/>
        </w:rPr>
      </w:pPr>
    </w:p>
    <w:p w14:paraId="11DB7E19">
      <w:pPr>
        <w:pStyle w:val="4"/>
        <w:tabs>
          <w:tab w:val="left" w:pos="567"/>
        </w:tabs>
        <w:rPr>
          <w:rFonts w:hint="eastAsia" w:ascii="宋体" w:hAnsi="宋体" w:eastAsia="宋体" w:cs="宋体"/>
          <w:color w:val="auto"/>
          <w:highlight w:val="none"/>
        </w:rPr>
      </w:pPr>
    </w:p>
    <w:p w14:paraId="201E79C1">
      <w:pPr>
        <w:rPr>
          <w:rFonts w:hint="eastAsia" w:ascii="宋体" w:hAnsi="宋体" w:eastAsia="宋体" w:cs="宋体"/>
          <w:color w:val="auto"/>
          <w:highlight w:val="none"/>
        </w:rPr>
      </w:pPr>
    </w:p>
    <w:p w14:paraId="6A0F205C">
      <w:pPr>
        <w:pStyle w:val="4"/>
        <w:tabs>
          <w:tab w:val="left" w:pos="567"/>
        </w:tabs>
        <w:rPr>
          <w:rFonts w:hint="eastAsia" w:ascii="宋体" w:hAnsi="宋体" w:eastAsia="宋体" w:cs="宋体"/>
          <w:color w:val="auto"/>
          <w:highlight w:val="none"/>
        </w:rPr>
      </w:pPr>
    </w:p>
    <w:p w14:paraId="218FC485">
      <w:pPr>
        <w:pStyle w:val="4"/>
        <w:tabs>
          <w:tab w:val="left" w:pos="567"/>
        </w:tabs>
        <w:rPr>
          <w:rFonts w:hint="eastAsia" w:ascii="宋体" w:hAnsi="宋体" w:eastAsia="宋体" w:cs="宋体"/>
          <w:color w:val="auto"/>
          <w:highlight w:val="none"/>
        </w:rPr>
      </w:pPr>
    </w:p>
    <w:p w14:paraId="63FCA60E">
      <w:pPr>
        <w:pStyle w:val="4"/>
        <w:tabs>
          <w:tab w:val="left" w:pos="567"/>
        </w:tabs>
        <w:rPr>
          <w:rFonts w:hint="eastAsia" w:ascii="宋体" w:hAnsi="宋体" w:eastAsia="宋体" w:cs="宋体"/>
          <w:color w:val="auto"/>
          <w:highlight w:val="none"/>
        </w:rPr>
      </w:pPr>
    </w:p>
    <w:p w14:paraId="091152BE">
      <w:pPr>
        <w:pStyle w:val="4"/>
        <w:tabs>
          <w:tab w:val="left" w:pos="567"/>
        </w:tabs>
        <w:rPr>
          <w:rFonts w:hint="eastAsia" w:ascii="宋体" w:hAnsi="宋体" w:eastAsia="宋体" w:cs="宋体"/>
          <w:color w:val="auto"/>
          <w:highlight w:val="none"/>
        </w:rPr>
      </w:pPr>
    </w:p>
    <w:p w14:paraId="556C4300">
      <w:pPr>
        <w:rPr>
          <w:rFonts w:hint="eastAsia" w:ascii="宋体" w:hAnsi="宋体" w:eastAsia="宋体" w:cs="宋体"/>
          <w:color w:val="auto"/>
          <w:highlight w:val="none"/>
        </w:rPr>
      </w:pPr>
    </w:p>
    <w:p w14:paraId="0C1F5A92">
      <w:pPr>
        <w:pStyle w:val="4"/>
        <w:tabs>
          <w:tab w:val="left" w:pos="567"/>
        </w:tabs>
        <w:rPr>
          <w:rFonts w:hint="eastAsia" w:ascii="宋体" w:hAnsi="宋体" w:eastAsia="宋体" w:cs="宋体"/>
          <w:color w:val="auto"/>
          <w:highlight w:val="none"/>
        </w:rPr>
      </w:pPr>
    </w:p>
    <w:p w14:paraId="5C5C20A0">
      <w:pPr>
        <w:rPr>
          <w:rFonts w:hint="eastAsia" w:ascii="宋体" w:hAnsi="宋体" w:eastAsia="宋体" w:cs="宋体"/>
          <w:color w:val="auto"/>
          <w:highlight w:val="none"/>
        </w:rPr>
      </w:pPr>
    </w:p>
    <w:p w14:paraId="672C6E23">
      <w:pPr>
        <w:pStyle w:val="3"/>
        <w:numPr>
          <w:ilvl w:val="2"/>
          <w:numId w:val="0"/>
        </w:numPr>
        <w:ind w:left="0" w:firstLine="0" w:firstLineChars="0"/>
        <w:jc w:val="center"/>
        <w:rPr>
          <w:rFonts w:hint="eastAsia" w:ascii="宋体" w:hAnsi="宋体" w:eastAsia="宋体" w:cs="宋体"/>
          <w:b/>
          <w:color w:val="auto"/>
          <w:sz w:val="32"/>
          <w:szCs w:val="32"/>
          <w:highlight w:val="none"/>
        </w:rPr>
      </w:pPr>
      <w:bookmarkStart w:id="25" w:name="_Toc6683"/>
      <w:bookmarkStart w:id="26" w:name="_Toc25184"/>
      <w:bookmarkStart w:id="27" w:name="_Toc8574"/>
      <w:bookmarkStart w:id="28" w:name="_Toc29855"/>
      <w:bookmarkStart w:id="29" w:name="_Toc5541"/>
      <w:bookmarkStart w:id="30" w:name="_Toc14395"/>
      <w:bookmarkStart w:id="31" w:name="_Toc16262"/>
      <w:r>
        <w:rPr>
          <w:rFonts w:hint="eastAsia" w:ascii="宋体" w:hAnsi="宋体" w:eastAsia="宋体" w:cs="宋体"/>
          <w:b/>
          <w:color w:val="auto"/>
          <w:sz w:val="32"/>
          <w:szCs w:val="32"/>
          <w:highlight w:val="none"/>
        </w:rPr>
        <w:t xml:space="preserve">第三部分 </w:t>
      </w:r>
      <w:r>
        <w:rPr>
          <w:rFonts w:hint="eastAsia" w:ascii="宋体" w:hAnsi="宋体" w:eastAsia="宋体" w:cs="宋体"/>
          <w:b/>
          <w:color w:val="auto"/>
          <w:sz w:val="32"/>
          <w:szCs w:val="32"/>
          <w:highlight w:val="none"/>
          <w:lang w:val="en-US" w:eastAsia="zh-CN"/>
        </w:rPr>
        <w:t xml:space="preserve"> </w:t>
      </w:r>
      <w:r>
        <w:rPr>
          <w:rFonts w:hint="eastAsia" w:ascii="宋体" w:hAnsi="宋体" w:eastAsia="宋体" w:cs="宋体"/>
          <w:b/>
          <w:color w:val="auto"/>
          <w:sz w:val="32"/>
          <w:szCs w:val="32"/>
          <w:highlight w:val="none"/>
        </w:rPr>
        <w:t>专用合同条款</w:t>
      </w:r>
      <w:bookmarkEnd w:id="25"/>
      <w:bookmarkEnd w:id="26"/>
      <w:bookmarkEnd w:id="27"/>
      <w:bookmarkEnd w:id="28"/>
      <w:bookmarkEnd w:id="29"/>
      <w:bookmarkEnd w:id="30"/>
      <w:bookmarkEnd w:id="31"/>
    </w:p>
    <w:p w14:paraId="5CF6FB0E">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32" w:name="_Toc30101"/>
      <w:r>
        <w:rPr>
          <w:rFonts w:hint="eastAsia" w:ascii="宋体" w:hAnsi="宋体" w:eastAsia="宋体" w:cs="宋体"/>
          <w:b/>
          <w:bCs w:val="0"/>
          <w:color w:val="auto"/>
          <w:sz w:val="24"/>
          <w:szCs w:val="24"/>
          <w:highlight w:val="none"/>
        </w:rPr>
        <w:t>1</w:t>
      </w:r>
      <w:bookmarkStart w:id="33" w:name="_Toc296347155"/>
      <w:bookmarkStart w:id="34" w:name="_Toc296944495"/>
      <w:bookmarkStart w:id="35" w:name="_Toc296891196"/>
      <w:bookmarkStart w:id="36" w:name="_Toc297048342"/>
      <w:bookmarkStart w:id="37" w:name="_Toc292559866"/>
      <w:bookmarkStart w:id="38" w:name="_Toc296503156"/>
      <w:bookmarkStart w:id="39" w:name="_Toc296890984"/>
      <w:bookmarkStart w:id="40" w:name="_Toc297120456"/>
      <w:bookmarkStart w:id="41" w:name="_Toc292559361"/>
      <w:bookmarkStart w:id="42" w:name="_Toc296346657"/>
      <w:r>
        <w:rPr>
          <w:rFonts w:hint="eastAsia" w:ascii="宋体" w:hAnsi="宋体" w:eastAsia="宋体" w:cs="宋体"/>
          <w:b/>
          <w:bCs w:val="0"/>
          <w:color w:val="auto"/>
          <w:sz w:val="24"/>
          <w:szCs w:val="24"/>
          <w:highlight w:val="none"/>
        </w:rPr>
        <w:t>. 一般约定</w:t>
      </w:r>
      <w:bookmarkEnd w:id="32"/>
    </w:p>
    <w:bookmarkEnd w:id="33"/>
    <w:bookmarkEnd w:id="34"/>
    <w:bookmarkEnd w:id="35"/>
    <w:bookmarkEnd w:id="36"/>
    <w:bookmarkEnd w:id="37"/>
    <w:bookmarkEnd w:id="38"/>
    <w:bookmarkEnd w:id="39"/>
    <w:bookmarkEnd w:id="40"/>
    <w:bookmarkEnd w:id="41"/>
    <w:bookmarkEnd w:id="42"/>
    <w:p w14:paraId="4722AB8E">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43" w:name="_Toc5755"/>
      <w:r>
        <w:rPr>
          <w:rFonts w:hint="eastAsia" w:ascii="宋体" w:hAnsi="宋体" w:eastAsia="宋体" w:cs="宋体"/>
          <w:color w:val="auto"/>
          <w:sz w:val="24"/>
          <w:szCs w:val="24"/>
          <w:highlight w:val="none"/>
        </w:rPr>
        <w:t>1.1 词语定义</w:t>
      </w:r>
      <w:bookmarkEnd w:id="43"/>
    </w:p>
    <w:p w14:paraId="522B6A7F">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1.1.1合同</w:t>
      </w:r>
    </w:p>
    <w:p w14:paraId="443BA6E9">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1.1.1.10其他合同文件包括：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F79CDBF">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 合同当事人及其他相关方</w:t>
      </w:r>
    </w:p>
    <w:p w14:paraId="792865A3">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1.1.2.4监理人：</w:t>
      </w:r>
    </w:p>
    <w:p w14:paraId="04EC5BBE">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名    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7DD146D8">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资质类别和等级：</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sz w:val="24"/>
          <w:szCs w:val="24"/>
          <w:highlight w:val="none"/>
        </w:rPr>
        <w:t>；</w:t>
      </w:r>
    </w:p>
    <w:p w14:paraId="2BA76C2C">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sz w:val="24"/>
          <w:szCs w:val="24"/>
          <w:highlight w:val="none"/>
        </w:rPr>
        <w:t>；</w:t>
      </w:r>
    </w:p>
    <w:p w14:paraId="17444477">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sz w:val="24"/>
          <w:szCs w:val="24"/>
          <w:highlight w:val="none"/>
        </w:rPr>
        <w:t>；</w:t>
      </w:r>
    </w:p>
    <w:p w14:paraId="4B902334">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sz w:val="24"/>
          <w:szCs w:val="24"/>
          <w:highlight w:val="none"/>
        </w:rPr>
        <w:t>。</w:t>
      </w:r>
    </w:p>
    <w:p w14:paraId="2F7496EE">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1.1.2.5 设计人：</w:t>
      </w:r>
    </w:p>
    <w:p w14:paraId="6DE7F907">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名    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5B7E36BD">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资质类别和等级：</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sz w:val="24"/>
          <w:szCs w:val="24"/>
          <w:highlight w:val="none"/>
        </w:rPr>
        <w:t>；</w:t>
      </w:r>
    </w:p>
    <w:p w14:paraId="3CE04B76">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sz w:val="24"/>
          <w:szCs w:val="24"/>
          <w:highlight w:val="none"/>
        </w:rPr>
        <w:t>；</w:t>
      </w:r>
    </w:p>
    <w:p w14:paraId="49D64954">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sz w:val="24"/>
          <w:szCs w:val="24"/>
          <w:highlight w:val="none"/>
        </w:rPr>
        <w:t>；</w:t>
      </w:r>
    </w:p>
    <w:p w14:paraId="6DED16E1">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6D2FE058">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 工程和设备</w:t>
      </w:r>
    </w:p>
    <w:p w14:paraId="0DDCA3F7">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1.1.3.7 作为施工现场组成部分的其他场所包括：</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360597D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1.1.3.9 永久占地包括：</w:t>
      </w:r>
      <w:r>
        <w:rPr>
          <w:rFonts w:hint="eastAsia" w:ascii="宋体" w:hAnsi="宋体" w:eastAsia="宋体" w:cs="宋体"/>
          <w:color w:val="auto"/>
          <w:sz w:val="24"/>
          <w:szCs w:val="24"/>
          <w:highlight w:val="none"/>
          <w:u w:val="single"/>
        </w:rPr>
        <w:t xml:space="preserve">      </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kern w:val="0"/>
          <w:sz w:val="24"/>
          <w:szCs w:val="24"/>
          <w:highlight w:val="none"/>
        </w:rPr>
        <w:t>。</w:t>
      </w:r>
    </w:p>
    <w:p w14:paraId="1AF9A86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1.1.3.10 临时占地包括：</w:t>
      </w:r>
      <w:r>
        <w:rPr>
          <w:rFonts w:hint="eastAsia" w:ascii="宋体" w:hAnsi="宋体" w:eastAsia="宋体" w:cs="宋体"/>
          <w:color w:val="auto"/>
          <w:sz w:val="24"/>
          <w:szCs w:val="24"/>
          <w:highlight w:val="none"/>
          <w:u w:val="single"/>
        </w:rPr>
        <w:t xml:space="preserve">      </w:t>
      </w:r>
      <w:r>
        <w:rPr>
          <w:rFonts w:hint="eastAsia" w:ascii="宋体" w:hAnsi="宋体" w:eastAsia="宋体" w:cs="宋体"/>
          <w:b/>
          <w:color w:val="auto"/>
          <w:sz w:val="21"/>
          <w:szCs w:val="21"/>
          <w:highlight w:val="none"/>
          <w:u w:val="single"/>
          <w:lang w:val="en-US" w:eastAsia="zh-CN"/>
        </w:rPr>
        <w:t xml:space="preserve">                                 </w:t>
      </w:r>
      <w:r>
        <w:rPr>
          <w:rFonts w:hint="eastAsia" w:ascii="宋体" w:hAnsi="宋体" w:eastAsia="宋体" w:cs="宋体"/>
          <w:color w:val="auto"/>
          <w:kern w:val="0"/>
          <w:sz w:val="24"/>
          <w:szCs w:val="24"/>
          <w:highlight w:val="none"/>
        </w:rPr>
        <w:t>。</w:t>
      </w:r>
    </w:p>
    <w:p w14:paraId="61A5EC8E">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1.3法律 </w:t>
      </w:r>
    </w:p>
    <w:p w14:paraId="0C7EFB5E">
      <w:pPr>
        <w:pageBreakBefore w:val="0"/>
        <w:widowControl w:val="0"/>
        <w:kinsoku/>
        <w:wordWrap/>
        <w:overflowPunct/>
        <w:topLinePunct w:val="0"/>
        <w:bidi w:val="0"/>
        <w:snapToGrid/>
        <w:spacing w:after="120"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适用于合同的其他规范性文件：</w:t>
      </w:r>
      <w:r>
        <w:rPr>
          <w:rFonts w:hint="eastAsia" w:ascii="宋体" w:hAnsi="宋体" w:eastAsia="宋体" w:cs="宋体"/>
          <w:color w:val="auto"/>
          <w:sz w:val="24"/>
          <w:highlight w:val="none"/>
          <w:u w:val="single"/>
        </w:rPr>
        <w:t>《中华人民共和国建筑法》、《中华人民共和国</w:t>
      </w:r>
      <w:r>
        <w:rPr>
          <w:rFonts w:hint="eastAsia" w:ascii="宋体" w:hAnsi="宋体" w:eastAsia="宋体" w:cs="宋体"/>
          <w:color w:val="auto"/>
          <w:sz w:val="24"/>
          <w:highlight w:val="none"/>
          <w:u w:val="single"/>
          <w:lang w:eastAsia="zh-CN"/>
        </w:rPr>
        <w:t>民</w:t>
      </w:r>
      <w:r>
        <w:rPr>
          <w:rFonts w:hint="eastAsia" w:ascii="宋体" w:hAnsi="宋体" w:eastAsia="宋体" w:cs="宋体"/>
          <w:color w:val="auto"/>
          <w:sz w:val="24"/>
          <w:highlight w:val="none"/>
          <w:u w:val="single"/>
        </w:rPr>
        <w:t>法</w:t>
      </w:r>
      <w:r>
        <w:rPr>
          <w:rFonts w:hint="eastAsia" w:ascii="宋体" w:hAnsi="宋体" w:eastAsia="宋体" w:cs="宋体"/>
          <w:color w:val="auto"/>
          <w:sz w:val="24"/>
          <w:highlight w:val="none"/>
          <w:u w:val="single"/>
          <w:lang w:eastAsia="zh-CN"/>
        </w:rPr>
        <w:t>典</w:t>
      </w:r>
      <w:r>
        <w:rPr>
          <w:rFonts w:hint="eastAsia" w:ascii="宋体" w:hAnsi="宋体" w:eastAsia="宋体" w:cs="宋体"/>
          <w:color w:val="auto"/>
          <w:sz w:val="24"/>
          <w:highlight w:val="none"/>
          <w:u w:val="single"/>
        </w:rPr>
        <w:t>》、《中华人民共和国招标投标法》、《建设工程质量管理条例》《建筑工程质量保修办法》等及其他有关法律，行政规则。</w:t>
      </w:r>
    </w:p>
    <w:p w14:paraId="1D408067">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 标准和规范</w:t>
      </w:r>
    </w:p>
    <w:p w14:paraId="6C5303A5">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szCs w:val="24"/>
          <w:highlight w:val="none"/>
        </w:rPr>
        <w:t>1.4.1适用于工程的标准规范包括：</w:t>
      </w:r>
      <w:r>
        <w:rPr>
          <w:rFonts w:hint="eastAsia" w:ascii="宋体" w:hAnsi="宋体" w:eastAsia="宋体" w:cs="宋体"/>
          <w:color w:val="auto"/>
          <w:sz w:val="24"/>
          <w:highlight w:val="none"/>
          <w:u w:val="single"/>
        </w:rPr>
        <w:t>按照国家、省、市或行业的现行工程建设标准、规范的要求。</w:t>
      </w:r>
      <w:bookmarkStart w:id="44" w:name="_Toc9229"/>
    </w:p>
    <w:p w14:paraId="0FFC8D09">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1.4.2 发包人提供国外标准、规范的名称：</w:t>
      </w:r>
      <w:bookmarkEnd w:id="44"/>
      <w:r>
        <w:rPr>
          <w:rFonts w:hint="eastAsia" w:ascii="宋体" w:hAnsi="宋体" w:eastAsia="宋体" w:cs="宋体"/>
          <w:color w:val="auto"/>
          <w:kern w:val="0"/>
          <w:sz w:val="24"/>
          <w:szCs w:val="24"/>
          <w:highlight w:val="none"/>
          <w:u w:val="single"/>
          <w:lang w:eastAsia="zh-CN"/>
        </w:rPr>
        <w:t>无</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C92A20D">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发包人提供国外标准、规范的份数：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FB50257">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发包人提供国外标准、规范的名称：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4E84975">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1.4.3发包人对工程的技术标准和功能要求的特殊要求：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3167AFC">
      <w:pPr>
        <w:pageBreakBefore w:val="0"/>
        <w:widowControl w:val="0"/>
        <w:kinsoku/>
        <w:wordWrap/>
        <w:overflowPunct/>
        <w:topLinePunct w:val="0"/>
        <w:bidi w:val="0"/>
        <w:snapToGrid/>
        <w:spacing w:after="120" w:line="380" w:lineRule="exact"/>
        <w:ind w:firstLine="480" w:firstLineChars="200"/>
        <w:textAlignment w:val="auto"/>
        <w:outlineLvl w:val="0"/>
        <w:rPr>
          <w:rFonts w:hint="eastAsia" w:ascii="宋体" w:hAnsi="宋体" w:eastAsia="宋体" w:cs="宋体"/>
          <w:color w:val="auto"/>
          <w:sz w:val="24"/>
          <w:szCs w:val="24"/>
          <w:highlight w:val="none"/>
        </w:rPr>
      </w:pPr>
      <w:bookmarkStart w:id="45" w:name="_Toc302"/>
      <w:bookmarkStart w:id="46" w:name="_Toc265"/>
      <w:bookmarkStart w:id="47" w:name="_Toc7626"/>
      <w:bookmarkStart w:id="48" w:name="_Toc21856"/>
      <w:bookmarkStart w:id="49" w:name="_Toc17219"/>
      <w:bookmarkStart w:id="50" w:name="_Toc6694"/>
      <w:bookmarkStart w:id="51" w:name="_Toc19078"/>
      <w:bookmarkStart w:id="52" w:name="_Toc329"/>
      <w:bookmarkStart w:id="53" w:name="_Toc906"/>
      <w:bookmarkStart w:id="54" w:name="_Toc20540"/>
      <w:bookmarkStart w:id="55" w:name="_Toc607"/>
      <w:bookmarkStart w:id="56" w:name="_Toc13007"/>
      <w:bookmarkStart w:id="57" w:name="_Toc13382"/>
      <w:bookmarkStart w:id="58" w:name="_Toc22317"/>
      <w:bookmarkStart w:id="59" w:name="_Toc10533"/>
      <w:bookmarkStart w:id="60" w:name="_Toc6017"/>
      <w:r>
        <w:rPr>
          <w:rFonts w:hint="eastAsia" w:ascii="宋体" w:hAnsi="宋体" w:eastAsia="宋体" w:cs="宋体"/>
          <w:color w:val="auto"/>
          <w:sz w:val="24"/>
          <w:szCs w:val="24"/>
          <w:highlight w:val="none"/>
        </w:rPr>
        <w:t>1.5 合同文件的优先顺序</w:t>
      </w:r>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14:paraId="7605F5A6">
      <w:pPr>
        <w:pageBreakBefore w:val="0"/>
        <w:widowControl w:val="0"/>
        <w:kinsoku/>
        <w:wordWrap/>
        <w:overflowPunct/>
        <w:topLinePunct w:val="0"/>
        <w:bidi w:val="0"/>
        <w:snapToGrid/>
        <w:spacing w:after="120" w:line="380" w:lineRule="exact"/>
        <w:ind w:firstLine="480" w:firstLineChars="200"/>
        <w:textAlignment w:val="auto"/>
        <w:outlineLvl w:val="0"/>
        <w:rPr>
          <w:rFonts w:hint="eastAsia" w:ascii="宋体" w:hAnsi="宋体" w:eastAsia="宋体" w:cs="宋体"/>
          <w:color w:val="auto"/>
          <w:sz w:val="24"/>
          <w:szCs w:val="24"/>
          <w:highlight w:val="none"/>
        </w:rPr>
      </w:pPr>
      <w:bookmarkStart w:id="61" w:name="_Toc11242"/>
      <w:bookmarkStart w:id="62" w:name="_Toc9401"/>
      <w:bookmarkStart w:id="63" w:name="_Toc14684"/>
      <w:bookmarkStart w:id="64" w:name="_Toc27870"/>
      <w:bookmarkStart w:id="65" w:name="_Toc2675"/>
      <w:bookmarkStart w:id="66" w:name="_Toc30772"/>
      <w:bookmarkStart w:id="67" w:name="_Toc21231"/>
      <w:bookmarkStart w:id="68" w:name="_Toc5032"/>
      <w:bookmarkStart w:id="69" w:name="_Toc26877"/>
      <w:bookmarkStart w:id="70" w:name="_Toc9505"/>
      <w:bookmarkStart w:id="71" w:name="_Toc20900"/>
      <w:bookmarkStart w:id="72" w:name="_Toc27939"/>
      <w:bookmarkStart w:id="73" w:name="_Toc10690"/>
      <w:bookmarkStart w:id="74" w:name="_Toc13020"/>
      <w:bookmarkStart w:id="75" w:name="_Toc21705"/>
      <w:r>
        <w:rPr>
          <w:rFonts w:hint="eastAsia" w:ascii="宋体" w:hAnsi="宋体" w:eastAsia="宋体" w:cs="宋体"/>
          <w:color w:val="auto"/>
          <w:sz w:val="24"/>
          <w:szCs w:val="24"/>
          <w:highlight w:val="none"/>
        </w:rPr>
        <w:t>合同文件组成及优先顺序为：</w:t>
      </w:r>
      <w:r>
        <w:rPr>
          <w:rFonts w:hint="eastAsia" w:ascii="宋体" w:hAnsi="宋体" w:eastAsia="宋体" w:cs="宋体"/>
          <w:color w:val="auto"/>
          <w:kern w:val="0"/>
          <w:sz w:val="24"/>
          <w:highlight w:val="none"/>
          <w:u w:val="single"/>
        </w:rPr>
        <w:t>①合同协议书②中标通知书③投标书及其附件④本合同专用条款⑤本合同通用条款⑥标准规范及其有关文件⑦图纸⑧招标文件及补遗文件⑨工程量清单⑩工程报价单或预算书</w:t>
      </w:r>
      <w:r>
        <w:rPr>
          <w:rFonts w:hint="eastAsia" w:ascii="宋体" w:hAnsi="宋体" w:eastAsia="宋体" w:cs="宋体"/>
          <w:color w:val="auto"/>
          <w:sz w:val="24"/>
          <w:szCs w:val="24"/>
          <w:highlight w:val="none"/>
        </w:rPr>
        <w:t>。</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p w14:paraId="226D193B">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lang w:eastAsia="zh-CN"/>
        </w:rPr>
      </w:pPr>
      <w:bookmarkStart w:id="76" w:name="_Toc10619"/>
      <w:bookmarkStart w:id="77" w:name="_Toc11989"/>
      <w:bookmarkStart w:id="78" w:name="_Toc22240"/>
      <w:bookmarkStart w:id="79" w:name="_Toc26694"/>
      <w:bookmarkStart w:id="80" w:name="_Toc22176"/>
      <w:bookmarkStart w:id="81" w:name="_Toc7100"/>
      <w:bookmarkStart w:id="82" w:name="_Toc24784"/>
      <w:bookmarkStart w:id="83" w:name="_Toc24549"/>
      <w:bookmarkStart w:id="84" w:name="_Toc22684"/>
      <w:bookmarkStart w:id="85" w:name="_Toc2189"/>
      <w:bookmarkStart w:id="86" w:name="_Toc13364"/>
      <w:bookmarkStart w:id="87" w:name="_Toc28555"/>
      <w:bookmarkStart w:id="88" w:name="_Toc5311"/>
      <w:bookmarkStart w:id="89" w:name="_Toc20548"/>
      <w:r>
        <w:rPr>
          <w:rFonts w:hint="eastAsia" w:ascii="宋体" w:hAnsi="宋体" w:eastAsia="宋体" w:cs="宋体"/>
          <w:color w:val="auto"/>
          <w:sz w:val="24"/>
          <w:szCs w:val="24"/>
          <w:highlight w:val="none"/>
        </w:rPr>
        <w:t>1.6 图纸和承包人文件</w:t>
      </w:r>
      <w:bookmarkEnd w:id="76"/>
      <w:bookmarkEnd w:id="77"/>
      <w:bookmarkEnd w:id="78"/>
      <w:bookmarkEnd w:id="79"/>
      <w:bookmarkEnd w:id="80"/>
      <w:bookmarkEnd w:id="81"/>
      <w:bookmarkEnd w:id="82"/>
      <w:bookmarkEnd w:id="83"/>
      <w:bookmarkEnd w:id="84"/>
      <w:bookmarkEnd w:id="85"/>
      <w:bookmarkEnd w:id="86"/>
      <w:bookmarkEnd w:id="87"/>
      <w:bookmarkEnd w:id="88"/>
      <w:bookmarkEnd w:id="89"/>
      <w:r>
        <w:rPr>
          <w:rFonts w:hint="eastAsia" w:ascii="宋体" w:hAnsi="宋体" w:eastAsia="宋体" w:cs="宋体"/>
          <w:color w:val="auto"/>
          <w:sz w:val="24"/>
          <w:szCs w:val="24"/>
          <w:highlight w:val="none"/>
          <w:lang w:eastAsia="zh-CN"/>
        </w:rPr>
        <w:t xml:space="preserve">   </w:t>
      </w:r>
    </w:p>
    <w:p w14:paraId="5CE82DCB">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 图纸的提供</w:t>
      </w:r>
    </w:p>
    <w:p w14:paraId="26C5499B">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发包人向承包人提供图纸的期限：</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开工前</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5536B003">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发包人向承包人提供图纸的数量：</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4套</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3E0778C2">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发包人向承包人提供图纸的内容：</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4F74FA57">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1.6.4 承包人文件</w:t>
      </w:r>
    </w:p>
    <w:p w14:paraId="527770B0">
      <w:pPr>
        <w:pageBreakBefore w:val="0"/>
        <w:widowControl w:val="0"/>
        <w:kinsoku/>
        <w:wordWrap/>
        <w:overflowPunct/>
        <w:topLinePunct w:val="0"/>
        <w:bidi w:val="0"/>
        <w:snapToGrid/>
        <w:spacing w:line="380" w:lineRule="exact"/>
        <w:ind w:left="966" w:leftChars="284"/>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需要由承包人提供的文件，包括：</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B0590A1">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承包人提供的文件的期限为：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4A0945F0">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承包人提供的文件的数量为：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36D3D26C">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承包人提供的文件的形式为：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5EABE34E">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发包人审批承包人文件的期限：</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28514DE9">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1.6.5 现场图纸准备</w:t>
      </w:r>
    </w:p>
    <w:p w14:paraId="1A4C09A9">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关于现场图纸准备的约定：</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520E3412">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90" w:name="_Toc11246"/>
      <w:bookmarkStart w:id="91" w:name="_Toc1558"/>
      <w:bookmarkStart w:id="92" w:name="_Toc3670"/>
      <w:bookmarkStart w:id="93" w:name="_Toc16443"/>
      <w:bookmarkStart w:id="94" w:name="_Toc23629"/>
      <w:bookmarkStart w:id="95" w:name="_Toc3856"/>
      <w:bookmarkStart w:id="96" w:name="_Toc12638"/>
      <w:bookmarkStart w:id="97" w:name="_Toc12791"/>
      <w:bookmarkStart w:id="98" w:name="_Toc2140"/>
      <w:bookmarkStart w:id="99" w:name="_Toc30348"/>
      <w:bookmarkStart w:id="100" w:name="_Toc11842"/>
      <w:bookmarkStart w:id="101" w:name="_Toc26881"/>
      <w:bookmarkStart w:id="102" w:name="_Toc21183"/>
      <w:bookmarkStart w:id="103" w:name="_Toc27219"/>
      <w:r>
        <w:rPr>
          <w:rFonts w:hint="eastAsia" w:ascii="宋体" w:hAnsi="宋体" w:eastAsia="宋体" w:cs="宋体"/>
          <w:color w:val="auto"/>
          <w:sz w:val="24"/>
          <w:szCs w:val="24"/>
          <w:highlight w:val="none"/>
        </w:rPr>
        <w:t>1.7 联络</w:t>
      </w:r>
      <w:bookmarkEnd w:id="90"/>
      <w:bookmarkEnd w:id="91"/>
      <w:bookmarkEnd w:id="92"/>
      <w:bookmarkEnd w:id="93"/>
      <w:bookmarkEnd w:id="94"/>
      <w:bookmarkEnd w:id="95"/>
      <w:bookmarkEnd w:id="96"/>
      <w:bookmarkEnd w:id="97"/>
      <w:bookmarkEnd w:id="98"/>
      <w:bookmarkEnd w:id="99"/>
      <w:bookmarkEnd w:id="100"/>
      <w:bookmarkEnd w:id="101"/>
      <w:bookmarkEnd w:id="102"/>
      <w:bookmarkEnd w:id="103"/>
    </w:p>
    <w:p w14:paraId="7C13E062">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1.7.1发包人和承包人应当在</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天内将与合同有关的通知、批准、证明、证书、指示、指令、要求、请求、同意、意见、确定和决定等书面函件送达对方当事人。</w:t>
      </w:r>
    </w:p>
    <w:p w14:paraId="2974F725">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1.7.2 发包人接收文件的地点：</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kern w:val="0"/>
          <w:sz w:val="24"/>
          <w:szCs w:val="24"/>
          <w:highlight w:val="none"/>
        </w:rPr>
        <w:t>；</w:t>
      </w:r>
    </w:p>
    <w:p w14:paraId="5C26E0E8">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发包人指定的接收人为：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kern w:val="0"/>
          <w:sz w:val="24"/>
          <w:szCs w:val="24"/>
          <w:highlight w:val="none"/>
        </w:rPr>
        <w:t>。</w:t>
      </w:r>
    </w:p>
    <w:p w14:paraId="324517AC">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承包人接收文件的地点：</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kern w:val="0"/>
          <w:sz w:val="24"/>
          <w:szCs w:val="24"/>
          <w:highlight w:val="none"/>
        </w:rPr>
        <w:t>；</w:t>
      </w:r>
    </w:p>
    <w:p w14:paraId="42328C2D">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承包人指定的接收人为：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kern w:val="0"/>
          <w:sz w:val="24"/>
          <w:szCs w:val="24"/>
          <w:highlight w:val="none"/>
        </w:rPr>
        <w:t>。</w:t>
      </w:r>
    </w:p>
    <w:p w14:paraId="017CCCCA">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监理人接收文件的地点：</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kern w:val="0"/>
          <w:sz w:val="24"/>
          <w:szCs w:val="24"/>
          <w:highlight w:val="none"/>
        </w:rPr>
        <w:t>；</w:t>
      </w:r>
    </w:p>
    <w:p w14:paraId="60AFAA3A">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监理人指定的接收人为：</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kern w:val="0"/>
          <w:sz w:val="24"/>
          <w:szCs w:val="24"/>
          <w:highlight w:val="none"/>
        </w:rPr>
        <w:t>。</w:t>
      </w:r>
    </w:p>
    <w:p w14:paraId="3A6AB90F">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104" w:name="_Toc4862"/>
      <w:r>
        <w:rPr>
          <w:rFonts w:hint="eastAsia" w:ascii="宋体" w:hAnsi="宋体" w:eastAsia="宋体" w:cs="宋体"/>
          <w:color w:val="auto"/>
          <w:sz w:val="24"/>
          <w:szCs w:val="24"/>
          <w:highlight w:val="none"/>
        </w:rPr>
        <w:t>1.10 交通运输</w:t>
      </w:r>
      <w:bookmarkEnd w:id="104"/>
      <w:bookmarkStart w:id="105" w:name="_Toc22115"/>
    </w:p>
    <w:p w14:paraId="18F78123">
      <w:pPr>
        <w:pageBreakBefore w:val="0"/>
        <w:widowControl w:val="0"/>
        <w:kinsoku/>
        <w:wordWrap/>
        <w:overflowPunct/>
        <w:topLinePunct w:val="0"/>
        <w:bidi w:val="0"/>
        <w:snapToGrid/>
        <w:spacing w:after="120" w:line="380" w:lineRule="exact"/>
        <w:ind w:firstLine="480" w:firstLineChars="200"/>
        <w:textAlignment w:val="auto"/>
        <w:outlineLvl w:val="0"/>
        <w:rPr>
          <w:rFonts w:hint="eastAsia" w:ascii="宋体" w:hAnsi="宋体" w:eastAsia="宋体" w:cs="宋体"/>
          <w:color w:val="auto"/>
          <w:sz w:val="24"/>
          <w:szCs w:val="24"/>
          <w:highlight w:val="none"/>
        </w:rPr>
      </w:pPr>
      <w:bookmarkStart w:id="106" w:name="_Toc12120"/>
      <w:bookmarkStart w:id="107" w:name="_Toc20710"/>
      <w:bookmarkStart w:id="108" w:name="_Toc29416"/>
      <w:bookmarkStart w:id="109" w:name="_Toc21549"/>
      <w:bookmarkStart w:id="110" w:name="_Toc32510"/>
      <w:bookmarkStart w:id="111" w:name="_Toc10151"/>
      <w:bookmarkStart w:id="112" w:name="_Toc22416"/>
      <w:bookmarkStart w:id="113" w:name="_Toc25911"/>
      <w:bookmarkStart w:id="114" w:name="_Toc32230"/>
      <w:bookmarkStart w:id="115" w:name="_Toc21408"/>
      <w:bookmarkStart w:id="116" w:name="_Toc27701"/>
      <w:bookmarkStart w:id="117" w:name="_Toc3024"/>
      <w:bookmarkStart w:id="118" w:name="_Toc10330"/>
      <w:bookmarkStart w:id="119" w:name="_Toc5220"/>
      <w:bookmarkStart w:id="120" w:name="_Toc25941"/>
      <w:r>
        <w:rPr>
          <w:rFonts w:hint="eastAsia" w:ascii="宋体" w:hAnsi="宋体" w:eastAsia="宋体" w:cs="宋体"/>
          <w:color w:val="auto"/>
          <w:sz w:val="24"/>
          <w:szCs w:val="24"/>
          <w:highlight w:val="none"/>
        </w:rPr>
        <w:t>1</w:t>
      </w:r>
      <w:bookmarkStart w:id="121" w:name="_Toc312677986"/>
      <w:bookmarkStart w:id="122" w:name="_Toc304295521"/>
      <w:bookmarkStart w:id="123" w:name="_Toc303539100"/>
      <w:bookmarkStart w:id="124" w:name="_Toc300934943"/>
      <w:bookmarkStart w:id="125" w:name="_Toc318581155"/>
      <w:r>
        <w:rPr>
          <w:rFonts w:hint="eastAsia" w:ascii="宋体" w:hAnsi="宋体" w:eastAsia="宋体" w:cs="宋体"/>
          <w:color w:val="auto"/>
          <w:sz w:val="24"/>
          <w:szCs w:val="24"/>
          <w:highlight w:val="none"/>
        </w:rPr>
        <w:t>.10.1 出入现场的权利</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14:paraId="475BB0D3">
      <w:pPr>
        <w:pageBreakBefore w:val="0"/>
        <w:widowControl w:val="0"/>
        <w:kinsoku/>
        <w:wordWrap/>
        <w:overflowPunct/>
        <w:topLinePunct w:val="0"/>
        <w:bidi w:val="0"/>
        <w:snapToGrid/>
        <w:spacing w:line="380" w:lineRule="exact"/>
        <w:ind w:firstLine="480" w:firstLineChars="200"/>
        <w:textAlignment w:val="auto"/>
        <w:outlineLvl w:val="0"/>
        <w:rPr>
          <w:rFonts w:hint="eastAsia" w:ascii="宋体" w:hAnsi="宋体" w:eastAsia="宋体" w:cs="宋体"/>
          <w:color w:val="auto"/>
          <w:sz w:val="24"/>
          <w:szCs w:val="24"/>
          <w:highlight w:val="none"/>
        </w:rPr>
      </w:pPr>
      <w:bookmarkStart w:id="126" w:name="_Toc30561"/>
      <w:bookmarkStart w:id="127" w:name="_Toc8588"/>
      <w:bookmarkStart w:id="128" w:name="_Toc1006"/>
      <w:bookmarkStart w:id="129" w:name="_Toc27947"/>
      <w:bookmarkStart w:id="130" w:name="_Toc22513"/>
      <w:bookmarkStart w:id="131" w:name="_Toc11938"/>
      <w:bookmarkStart w:id="132" w:name="_Toc6895"/>
      <w:bookmarkStart w:id="133" w:name="_Toc8199"/>
      <w:bookmarkStart w:id="134" w:name="_Toc31749"/>
      <w:bookmarkStart w:id="135" w:name="_Toc9083"/>
      <w:bookmarkStart w:id="136" w:name="_Toc4438"/>
      <w:bookmarkStart w:id="137" w:name="_Toc14330"/>
      <w:bookmarkStart w:id="138" w:name="_Toc15641"/>
      <w:bookmarkStart w:id="139" w:name="_Toc6581"/>
      <w:bookmarkStart w:id="140" w:name="_Toc32228"/>
      <w:r>
        <w:rPr>
          <w:rFonts w:hint="eastAsia" w:ascii="宋体" w:hAnsi="宋体" w:eastAsia="宋体" w:cs="宋体"/>
          <w:color w:val="auto"/>
          <w:sz w:val="24"/>
          <w:szCs w:val="24"/>
          <w:highlight w:val="none"/>
        </w:rPr>
        <w:t>关于出入现场的权利的约定：</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p>
    <w:bookmarkEnd w:id="121"/>
    <w:bookmarkEnd w:id="122"/>
    <w:bookmarkEnd w:id="123"/>
    <w:bookmarkEnd w:id="124"/>
    <w:bookmarkEnd w:id="125"/>
    <w:p w14:paraId="48DCD9E2">
      <w:pPr>
        <w:pageBreakBefore w:val="0"/>
        <w:widowControl w:val="0"/>
        <w:kinsoku/>
        <w:wordWrap/>
        <w:overflowPunct/>
        <w:topLinePunct w:val="0"/>
        <w:bidi w:val="0"/>
        <w:snapToGrid/>
        <w:spacing w:line="380" w:lineRule="exact"/>
        <w:ind w:firstLine="480" w:firstLineChars="200"/>
        <w:jc w:val="left"/>
        <w:textAlignment w:val="auto"/>
        <w:outlineLvl w:val="0"/>
        <w:rPr>
          <w:rFonts w:hint="eastAsia" w:ascii="宋体" w:hAnsi="宋体" w:eastAsia="宋体" w:cs="宋体"/>
          <w:color w:val="auto"/>
          <w:sz w:val="24"/>
          <w:szCs w:val="24"/>
          <w:highlight w:val="none"/>
        </w:rPr>
      </w:pPr>
      <w:bookmarkStart w:id="141" w:name="_Toc20522"/>
      <w:bookmarkStart w:id="142" w:name="_Toc12167"/>
      <w:bookmarkStart w:id="143" w:name="_Toc14369"/>
      <w:bookmarkStart w:id="144" w:name="_Toc24929"/>
      <w:bookmarkStart w:id="145" w:name="_Toc14753"/>
      <w:bookmarkStart w:id="146" w:name="_Toc2813"/>
      <w:bookmarkStart w:id="147" w:name="_Toc5676"/>
      <w:bookmarkStart w:id="148" w:name="_Toc12945"/>
      <w:bookmarkStart w:id="149" w:name="_Toc4937"/>
      <w:bookmarkStart w:id="150" w:name="_Toc26625"/>
      <w:bookmarkStart w:id="151" w:name="_Toc30606"/>
      <w:bookmarkStart w:id="152" w:name="_Toc11174"/>
      <w:bookmarkStart w:id="153" w:name="_Toc5878"/>
      <w:bookmarkStart w:id="154" w:name="_Toc9073"/>
      <w:bookmarkStart w:id="155" w:name="_Toc24331"/>
      <w:bookmarkStart w:id="156" w:name="_Toc282"/>
      <w:r>
        <w:rPr>
          <w:rFonts w:hint="eastAsia" w:ascii="宋体" w:hAnsi="宋体" w:eastAsia="宋体" w:cs="宋体"/>
          <w:color w:val="auto"/>
          <w:sz w:val="24"/>
          <w:szCs w:val="24"/>
          <w:highlight w:val="none"/>
        </w:rPr>
        <w:t>1</w:t>
      </w:r>
      <w:bookmarkStart w:id="157" w:name="_Toc300934944"/>
      <w:bookmarkStart w:id="158" w:name="_Toc304295522"/>
      <w:bookmarkStart w:id="159" w:name="_Toc303539101"/>
      <w:bookmarkStart w:id="160" w:name="_Toc312677987"/>
      <w:bookmarkStart w:id="161" w:name="_Toc318581156"/>
      <w:r>
        <w:rPr>
          <w:rFonts w:hint="eastAsia" w:ascii="宋体" w:hAnsi="宋体" w:eastAsia="宋体" w:cs="宋体"/>
          <w:color w:val="auto"/>
          <w:sz w:val="24"/>
          <w:szCs w:val="24"/>
          <w:highlight w:val="none"/>
        </w:rPr>
        <w:t>.10.3 场内交通</w:t>
      </w:r>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14:paraId="5CEDD443">
      <w:pPr>
        <w:pageBreakBefore w:val="0"/>
        <w:widowControl w:val="0"/>
        <w:kinsoku/>
        <w:wordWrap/>
        <w:overflowPunct/>
        <w:topLinePunct w:val="0"/>
        <w:bidi w:val="0"/>
        <w:snapToGrid/>
        <w:spacing w:line="380" w:lineRule="exact"/>
        <w:ind w:firstLine="480" w:firstLineChars="200"/>
        <w:jc w:val="left"/>
        <w:textAlignment w:val="auto"/>
        <w:outlineLvl w:val="0"/>
        <w:rPr>
          <w:rFonts w:hint="eastAsia" w:ascii="宋体" w:hAnsi="宋体" w:eastAsia="宋体" w:cs="宋体"/>
          <w:color w:val="auto"/>
          <w:sz w:val="24"/>
          <w:szCs w:val="24"/>
          <w:highlight w:val="none"/>
        </w:rPr>
      </w:pPr>
      <w:bookmarkStart w:id="162" w:name="_Toc15487"/>
      <w:bookmarkStart w:id="163" w:name="_Toc1031"/>
      <w:bookmarkStart w:id="164" w:name="_Toc26889"/>
      <w:bookmarkStart w:id="165" w:name="_Toc12458"/>
      <w:bookmarkStart w:id="166" w:name="_Toc20374"/>
      <w:bookmarkStart w:id="167" w:name="_Toc15007"/>
      <w:bookmarkStart w:id="168" w:name="_Toc5516"/>
      <w:bookmarkStart w:id="169" w:name="_Toc23581"/>
      <w:bookmarkStart w:id="170" w:name="_Toc18009"/>
      <w:bookmarkStart w:id="171" w:name="_Toc29888"/>
      <w:bookmarkStart w:id="172" w:name="_Toc15519"/>
      <w:bookmarkStart w:id="173" w:name="_Toc12428"/>
      <w:bookmarkStart w:id="174" w:name="_Toc32153"/>
      <w:bookmarkStart w:id="175" w:name="_Toc5143"/>
      <w:bookmarkStart w:id="176" w:name="_Toc6937"/>
      <w:r>
        <w:rPr>
          <w:rFonts w:hint="eastAsia" w:ascii="宋体" w:hAnsi="宋体" w:eastAsia="宋体" w:cs="宋体"/>
          <w:color w:val="auto"/>
          <w:kern w:val="0"/>
          <w:sz w:val="24"/>
          <w:szCs w:val="24"/>
          <w:highlight w:val="none"/>
        </w:rPr>
        <w:t>关于场外交通和场内交通的边界的约定：</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p>
    <w:p w14:paraId="55DDA58B">
      <w:pPr>
        <w:pageBreakBefore w:val="0"/>
        <w:widowControl w:val="0"/>
        <w:kinsoku/>
        <w:wordWrap/>
        <w:overflowPunct/>
        <w:topLinePunct w:val="0"/>
        <w:bidi w:val="0"/>
        <w:snapToGrid/>
        <w:spacing w:line="380" w:lineRule="exact"/>
        <w:ind w:firstLine="480" w:firstLineChars="200"/>
        <w:jc w:val="left"/>
        <w:textAlignment w:val="auto"/>
        <w:outlineLvl w:val="0"/>
        <w:rPr>
          <w:rFonts w:hint="eastAsia" w:ascii="宋体" w:hAnsi="宋体" w:eastAsia="宋体" w:cs="宋体"/>
          <w:color w:val="auto"/>
          <w:sz w:val="24"/>
          <w:szCs w:val="24"/>
          <w:highlight w:val="none"/>
        </w:rPr>
      </w:pPr>
      <w:bookmarkStart w:id="177" w:name="_Toc29183"/>
      <w:bookmarkStart w:id="178" w:name="_Toc29737"/>
      <w:bookmarkStart w:id="179" w:name="_Toc6146"/>
      <w:bookmarkStart w:id="180" w:name="_Toc20934"/>
      <w:bookmarkStart w:id="181" w:name="_Toc13676"/>
      <w:bookmarkStart w:id="182" w:name="_Toc17271"/>
      <w:bookmarkStart w:id="183" w:name="_Toc15664"/>
      <w:bookmarkStart w:id="184" w:name="_Toc12469"/>
      <w:bookmarkStart w:id="185" w:name="_Toc4435"/>
      <w:bookmarkStart w:id="186" w:name="_Toc26090"/>
      <w:bookmarkStart w:id="187" w:name="_Toc18910"/>
      <w:bookmarkStart w:id="188" w:name="_Toc8620"/>
      <w:bookmarkStart w:id="189" w:name="_Toc9117"/>
      <w:bookmarkStart w:id="190" w:name="_Toc2809"/>
      <w:bookmarkStart w:id="191" w:name="_Toc14984"/>
      <w:r>
        <w:rPr>
          <w:rFonts w:hint="eastAsia" w:ascii="宋体" w:hAnsi="宋体" w:eastAsia="宋体" w:cs="宋体"/>
          <w:color w:val="auto"/>
          <w:sz w:val="24"/>
          <w:szCs w:val="24"/>
          <w:highlight w:val="none"/>
        </w:rPr>
        <w:t>关于发包人向承包人免费提供满足工程施工需要的场内道路和交通设施的约定：</w:t>
      </w:r>
      <w:bookmarkEnd w:id="177"/>
      <w:bookmarkEnd w:id="178"/>
      <w:bookmarkEnd w:id="179"/>
      <w:bookmarkEnd w:id="180"/>
      <w:bookmarkEnd w:id="181"/>
      <w:bookmarkEnd w:id="182"/>
      <w:bookmarkEnd w:id="183"/>
      <w:bookmarkEnd w:id="184"/>
      <w:bookmarkEnd w:id="185"/>
      <w:bookmarkEnd w:id="186"/>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bookmarkStart w:id="192" w:name="_Toc21288"/>
      <w:bookmarkStart w:id="193" w:name="_Toc26324"/>
      <w:bookmarkStart w:id="194" w:name="_Toc18787"/>
      <w:bookmarkStart w:id="195" w:name="_Toc28509"/>
      <w:bookmarkStart w:id="196" w:name="_Toc30555"/>
      <w:bookmarkStart w:id="197" w:name="_Toc15954"/>
      <w:bookmarkStart w:id="198" w:name="_Toc1570"/>
      <w:bookmarkStart w:id="199" w:name="_Toc14275"/>
      <w:bookmarkStart w:id="200" w:name="_Toc21343"/>
      <w:bookmarkStart w:id="201" w:name="_Toc31730"/>
      <w:r>
        <w:rPr>
          <w:rFonts w:hint="eastAsia" w:ascii="宋体" w:hAnsi="宋体" w:eastAsia="宋体" w:cs="宋体"/>
          <w:color w:val="auto"/>
          <w:sz w:val="24"/>
          <w:szCs w:val="24"/>
          <w:highlight w:val="none"/>
        </w:rPr>
        <w:t>。</w:t>
      </w:r>
      <w:bookmarkEnd w:id="157"/>
      <w:bookmarkEnd w:id="158"/>
      <w:bookmarkEnd w:id="159"/>
      <w:bookmarkEnd w:id="160"/>
      <w:bookmarkEnd w:id="161"/>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r>
        <w:rPr>
          <w:rFonts w:hint="eastAsia" w:ascii="宋体" w:hAnsi="宋体" w:eastAsia="宋体" w:cs="宋体"/>
          <w:color w:val="auto"/>
          <w:sz w:val="24"/>
          <w:szCs w:val="24"/>
          <w:highlight w:val="none"/>
        </w:rPr>
        <w:t xml:space="preserve">  </w:t>
      </w:r>
      <w:bookmarkStart w:id="202" w:name="_Toc318581157"/>
    </w:p>
    <w:p w14:paraId="1CB9061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1.10.4超大件和超重件的运输</w:t>
      </w:r>
    </w:p>
    <w:p w14:paraId="24AE877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运输超大件或超重件所需的道路和桥梁临时加固改造费用和其他有关费用由</w:t>
      </w:r>
      <w:r>
        <w:rPr>
          <w:rFonts w:hint="eastAsia" w:ascii="宋体" w:hAnsi="宋体" w:eastAsia="宋体" w:cs="宋体"/>
          <w:color w:val="auto"/>
          <w:sz w:val="24"/>
          <w:szCs w:val="24"/>
          <w:highlight w:val="none"/>
          <w:u w:val="single"/>
        </w:rPr>
        <w:t xml:space="preserve">   </w:t>
      </w:r>
    </w:p>
    <w:p w14:paraId="40E14275">
      <w:pPr>
        <w:pageBreakBefore w:val="0"/>
        <w:widowControl w:val="0"/>
        <w:kinsoku/>
        <w:wordWrap/>
        <w:overflowPunct/>
        <w:topLinePunct w:val="0"/>
        <w:bidi w:val="0"/>
        <w:snapToGrid/>
        <w:spacing w:line="380" w:lineRule="exact"/>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承担。</w:t>
      </w:r>
    </w:p>
    <w:bookmarkEnd w:id="202"/>
    <w:p w14:paraId="48CB72E7">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203" w:name="_Toc14949"/>
      <w:r>
        <w:rPr>
          <w:rFonts w:hint="eastAsia" w:ascii="宋体" w:hAnsi="宋体" w:eastAsia="宋体" w:cs="宋体"/>
          <w:color w:val="auto"/>
          <w:sz w:val="24"/>
          <w:szCs w:val="24"/>
          <w:highlight w:val="none"/>
        </w:rPr>
        <w:t>1.11 知识产权</w:t>
      </w:r>
      <w:bookmarkEnd w:id="203"/>
    </w:p>
    <w:p w14:paraId="4A9DE7DB">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1.11.1关于发包人提供给承包人的图纸、发包人为实施工程自行编制或委托编制的技术规范以及反映发包人关于合同要求或其他类似性质的文件的著作权的归属：</w:t>
      </w:r>
    </w:p>
    <w:p w14:paraId="7EDB9BE3">
      <w:pPr>
        <w:pageBreakBefore w:val="0"/>
        <w:widowControl w:val="0"/>
        <w:kinsoku/>
        <w:wordWrap/>
        <w:overflowPunct/>
        <w:topLinePunct w:val="0"/>
        <w:bidi w:val="0"/>
        <w:snapToGrid/>
        <w:spacing w:line="38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2FC2A6B3">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关于发包人提供的上述文件的使用限制的要求：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BB641A0">
      <w:pPr>
        <w:pageBreakBefore w:val="0"/>
        <w:widowControl w:val="0"/>
        <w:kinsoku/>
        <w:wordWrap/>
        <w:overflowPunct/>
        <w:topLinePunct w:val="0"/>
        <w:bidi w:val="0"/>
        <w:snapToGrid/>
        <w:spacing w:line="380" w:lineRule="exact"/>
        <w:ind w:firstLine="480" w:firstLineChars="200"/>
        <w:textAlignment w:val="auto"/>
        <w:outlineLvl w:val="0"/>
        <w:rPr>
          <w:rFonts w:hint="eastAsia" w:ascii="宋体" w:hAnsi="宋体" w:eastAsia="宋体" w:cs="宋体"/>
          <w:color w:val="auto"/>
          <w:sz w:val="24"/>
          <w:szCs w:val="24"/>
          <w:highlight w:val="none"/>
        </w:rPr>
      </w:pPr>
      <w:bookmarkStart w:id="204" w:name="_Toc26003"/>
      <w:bookmarkStart w:id="205" w:name="_Toc14546"/>
      <w:bookmarkStart w:id="206" w:name="_Toc14571"/>
      <w:bookmarkStart w:id="207" w:name="_Toc27807"/>
      <w:bookmarkStart w:id="208" w:name="_Toc15670"/>
      <w:bookmarkStart w:id="209" w:name="_Toc17450"/>
      <w:bookmarkStart w:id="210" w:name="_Toc20559"/>
      <w:bookmarkStart w:id="211" w:name="_Toc29363"/>
      <w:bookmarkStart w:id="212" w:name="_Toc13942"/>
      <w:bookmarkStart w:id="213" w:name="_Toc14992"/>
      <w:bookmarkStart w:id="214" w:name="_Toc6834"/>
      <w:bookmarkStart w:id="215" w:name="_Toc9890"/>
      <w:bookmarkStart w:id="216" w:name="_Toc6206"/>
      <w:bookmarkStart w:id="217" w:name="_Toc25933"/>
      <w:bookmarkStart w:id="218" w:name="_Toc5986"/>
      <w:bookmarkStart w:id="219" w:name="_Toc27459"/>
      <w:r>
        <w:rPr>
          <w:rFonts w:hint="eastAsia" w:ascii="宋体" w:hAnsi="宋体" w:eastAsia="宋体" w:cs="宋体"/>
          <w:color w:val="auto"/>
          <w:sz w:val="24"/>
          <w:szCs w:val="24"/>
          <w:highlight w:val="none"/>
        </w:rPr>
        <w:t>1.11.2 关于承包人为实施工程所编制文件的著作权的归属：</w:t>
      </w:r>
      <w:bookmarkEnd w:id="204"/>
      <w:bookmarkEnd w:id="205"/>
      <w:bookmarkEnd w:id="206"/>
      <w:bookmarkEnd w:id="207"/>
      <w:bookmarkEnd w:id="208"/>
      <w:bookmarkEnd w:id="209"/>
      <w:bookmarkEnd w:id="210"/>
      <w:bookmarkEnd w:id="211"/>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bookmarkEnd w:id="212"/>
      <w:bookmarkEnd w:id="213"/>
      <w:bookmarkEnd w:id="214"/>
      <w:bookmarkEnd w:id="215"/>
      <w:bookmarkEnd w:id="216"/>
      <w:bookmarkEnd w:id="217"/>
      <w:bookmarkEnd w:id="218"/>
      <w:bookmarkEnd w:id="219"/>
    </w:p>
    <w:p w14:paraId="7F46DF89">
      <w:pPr>
        <w:pageBreakBefore w:val="0"/>
        <w:widowControl w:val="0"/>
        <w:kinsoku/>
        <w:wordWrap/>
        <w:overflowPunct/>
        <w:topLinePunct w:val="0"/>
        <w:bidi w:val="0"/>
        <w:snapToGrid/>
        <w:spacing w:line="38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关于承包人提供的上述文件的使用限制的要求：</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A0935F8">
      <w:pPr>
        <w:pageBreakBefore w:val="0"/>
        <w:widowControl w:val="0"/>
        <w:kinsoku/>
        <w:wordWrap/>
        <w:overflowPunct/>
        <w:topLinePunct w:val="0"/>
        <w:bidi w:val="0"/>
        <w:snapToGrid/>
        <w:spacing w:line="380" w:lineRule="exact"/>
        <w:ind w:firstLine="480" w:firstLineChars="200"/>
        <w:textAlignment w:val="auto"/>
        <w:outlineLvl w:val="0"/>
        <w:rPr>
          <w:rFonts w:hint="eastAsia" w:ascii="宋体" w:hAnsi="宋体" w:eastAsia="宋体" w:cs="宋体"/>
          <w:color w:val="auto"/>
          <w:kern w:val="0"/>
          <w:sz w:val="24"/>
          <w:szCs w:val="24"/>
          <w:highlight w:val="none"/>
        </w:rPr>
      </w:pPr>
      <w:bookmarkStart w:id="220" w:name="_Toc30202"/>
      <w:bookmarkStart w:id="221" w:name="_Toc16092"/>
      <w:bookmarkStart w:id="222" w:name="_Toc3324"/>
      <w:bookmarkStart w:id="223" w:name="_Toc12274"/>
      <w:bookmarkStart w:id="224" w:name="_Toc17936"/>
      <w:bookmarkStart w:id="225" w:name="_Toc26579"/>
      <w:bookmarkStart w:id="226" w:name="_Toc19004"/>
      <w:bookmarkStart w:id="227" w:name="_Toc32101"/>
      <w:bookmarkStart w:id="228" w:name="_Toc7927"/>
      <w:bookmarkStart w:id="229" w:name="_Toc10697"/>
      <w:bookmarkStart w:id="230" w:name="_Toc14394"/>
      <w:bookmarkStart w:id="231" w:name="_Toc28768"/>
      <w:bookmarkStart w:id="232" w:name="_Toc16775"/>
      <w:bookmarkStart w:id="233" w:name="_Toc7750"/>
      <w:bookmarkStart w:id="234" w:name="_Toc8248"/>
      <w:bookmarkStart w:id="235" w:name="_Toc1331"/>
      <w:r>
        <w:rPr>
          <w:rFonts w:hint="eastAsia" w:ascii="宋体" w:hAnsi="宋体" w:eastAsia="宋体" w:cs="宋体"/>
          <w:color w:val="auto"/>
          <w:sz w:val="24"/>
          <w:szCs w:val="24"/>
          <w:highlight w:val="none"/>
        </w:rPr>
        <w:t>1.11.4 承包人在施工过程中所采用的专利、专有技术、技术秘密的使用费的承担方式：</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w:t>
      </w:r>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p>
    <w:p w14:paraId="09EE465A">
      <w:pPr>
        <w:pageBreakBefore w:val="0"/>
        <w:widowControl w:val="0"/>
        <w:kinsoku/>
        <w:wordWrap/>
        <w:overflowPunct/>
        <w:topLinePunct w:val="0"/>
        <w:bidi w:val="0"/>
        <w:snapToGrid/>
        <w:spacing w:line="380" w:lineRule="exact"/>
        <w:ind w:firstLine="480" w:firstLineChars="200"/>
        <w:textAlignment w:val="auto"/>
        <w:outlineLvl w:val="0"/>
        <w:rPr>
          <w:rFonts w:hint="eastAsia" w:ascii="宋体" w:hAnsi="宋体" w:eastAsia="宋体" w:cs="宋体"/>
          <w:color w:val="auto"/>
          <w:sz w:val="24"/>
          <w:szCs w:val="24"/>
          <w:highlight w:val="none"/>
        </w:rPr>
      </w:pPr>
      <w:bookmarkStart w:id="236" w:name="_Toc22075"/>
      <w:bookmarkStart w:id="237" w:name="_Toc22879"/>
      <w:r>
        <w:rPr>
          <w:rFonts w:hint="eastAsia" w:ascii="宋体" w:hAnsi="宋体" w:eastAsia="宋体" w:cs="宋体"/>
          <w:color w:val="auto"/>
          <w:sz w:val="24"/>
          <w:szCs w:val="24"/>
          <w:highlight w:val="none"/>
        </w:rPr>
        <w:t>1.13工程量清单错误的修正</w:t>
      </w:r>
      <w:bookmarkEnd w:id="236"/>
      <w:bookmarkEnd w:id="237"/>
    </w:p>
    <w:p w14:paraId="19929F01">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出现工程量清单错误时，是否调整合同价格：</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w:t>
      </w:r>
    </w:p>
    <w:p w14:paraId="6D965F8B">
      <w:pPr>
        <w:pageBreakBefore w:val="0"/>
        <w:widowControl w:val="0"/>
        <w:kinsoku/>
        <w:wordWrap/>
        <w:overflowPunct/>
        <w:topLinePunct w:val="0"/>
        <w:bidi w:val="0"/>
        <w:snapToGrid/>
        <w:spacing w:line="38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允许调整合同价格的工程量偏差范围：</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w:t>
      </w:r>
    </w:p>
    <w:p w14:paraId="1181D9FA">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238" w:name="_Toc24804"/>
      <w:r>
        <w:rPr>
          <w:rFonts w:hint="eastAsia" w:ascii="宋体" w:hAnsi="宋体" w:eastAsia="宋体" w:cs="宋体"/>
          <w:b/>
          <w:bCs w:val="0"/>
          <w:color w:val="auto"/>
          <w:sz w:val="24"/>
          <w:szCs w:val="24"/>
          <w:highlight w:val="none"/>
        </w:rPr>
        <w:t>2</w:t>
      </w:r>
      <w:bookmarkStart w:id="239" w:name="_Toc296347156"/>
      <w:bookmarkStart w:id="240" w:name="_Toc297048343"/>
      <w:bookmarkStart w:id="241" w:name="_Toc296890985"/>
      <w:bookmarkStart w:id="242" w:name="_Toc296891197"/>
      <w:bookmarkStart w:id="243" w:name="_Toc296944496"/>
      <w:bookmarkStart w:id="244" w:name="_Toc296346658"/>
      <w:bookmarkStart w:id="245" w:name="_Toc292559362"/>
      <w:bookmarkStart w:id="246" w:name="_Toc296503157"/>
      <w:bookmarkStart w:id="247" w:name="_Toc297120457"/>
      <w:bookmarkStart w:id="248" w:name="_Toc292559867"/>
      <w:r>
        <w:rPr>
          <w:rFonts w:hint="eastAsia" w:ascii="宋体" w:hAnsi="宋体" w:eastAsia="宋体" w:cs="宋体"/>
          <w:b/>
          <w:bCs w:val="0"/>
          <w:color w:val="auto"/>
          <w:sz w:val="24"/>
          <w:szCs w:val="24"/>
          <w:highlight w:val="none"/>
        </w:rPr>
        <w:t>. 发包人</w:t>
      </w:r>
      <w:bookmarkEnd w:id="238"/>
    </w:p>
    <w:bookmarkEnd w:id="239"/>
    <w:bookmarkEnd w:id="240"/>
    <w:bookmarkEnd w:id="241"/>
    <w:bookmarkEnd w:id="242"/>
    <w:bookmarkEnd w:id="243"/>
    <w:bookmarkEnd w:id="244"/>
    <w:bookmarkEnd w:id="245"/>
    <w:bookmarkEnd w:id="246"/>
    <w:bookmarkEnd w:id="247"/>
    <w:bookmarkEnd w:id="248"/>
    <w:p w14:paraId="1A29E7DD">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249" w:name="_Toc248"/>
      <w:bookmarkStart w:id="250" w:name="_Toc6681"/>
      <w:bookmarkStart w:id="251" w:name="_Toc23402"/>
      <w:bookmarkStart w:id="252" w:name="_Toc29057"/>
      <w:bookmarkStart w:id="253" w:name="_Toc27193"/>
      <w:bookmarkStart w:id="254" w:name="_Toc11110"/>
      <w:bookmarkStart w:id="255" w:name="_Toc2621"/>
      <w:bookmarkStart w:id="256" w:name="_Toc28155"/>
      <w:bookmarkStart w:id="257" w:name="_Toc27607"/>
      <w:bookmarkStart w:id="258" w:name="_Toc24466"/>
      <w:bookmarkStart w:id="259" w:name="_Toc32429"/>
      <w:bookmarkStart w:id="260" w:name="_Toc20107"/>
      <w:bookmarkStart w:id="261" w:name="_Toc9566"/>
      <w:bookmarkStart w:id="262" w:name="_Toc18187"/>
      <w:r>
        <w:rPr>
          <w:rFonts w:hint="eastAsia" w:ascii="宋体" w:hAnsi="宋体" w:eastAsia="宋体" w:cs="宋体"/>
          <w:color w:val="auto"/>
          <w:sz w:val="24"/>
          <w:szCs w:val="24"/>
          <w:highlight w:val="none"/>
        </w:rPr>
        <w:t>2.2 发包人代表</w:t>
      </w:r>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p>
    <w:p w14:paraId="0FADF48A">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发包人代表：</w:t>
      </w:r>
    </w:p>
    <w:p w14:paraId="4F63E0DF">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57AC7723">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59984882">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    务：</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09AA8449">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69DA7BC0">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11AEF397">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4ACBDC0B">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发包人对发包人代表的授权范围如下：</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Start w:id="263" w:name="_Toc16144"/>
      <w:bookmarkStart w:id="264" w:name="_Toc11698"/>
      <w:bookmarkStart w:id="265" w:name="_Toc17107"/>
      <w:bookmarkStart w:id="266" w:name="_Toc18861"/>
      <w:bookmarkStart w:id="267" w:name="_Toc5252"/>
      <w:bookmarkStart w:id="268" w:name="_Toc30914"/>
      <w:bookmarkStart w:id="269" w:name="_Toc20326"/>
      <w:bookmarkStart w:id="270" w:name="_Toc2425"/>
      <w:bookmarkStart w:id="271" w:name="_Toc8060"/>
      <w:bookmarkStart w:id="272" w:name="_Toc22908"/>
      <w:bookmarkStart w:id="273" w:name="_Toc6391"/>
      <w:bookmarkStart w:id="274" w:name="_Toc26235"/>
      <w:bookmarkStart w:id="275" w:name="_Toc21835"/>
    </w:p>
    <w:p w14:paraId="3BDCA722">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 施工现场、施工条件和基础资料的提供</w:t>
      </w:r>
      <w:bookmarkEnd w:id="263"/>
      <w:bookmarkEnd w:id="264"/>
      <w:bookmarkEnd w:id="265"/>
      <w:bookmarkEnd w:id="266"/>
      <w:bookmarkEnd w:id="267"/>
      <w:bookmarkEnd w:id="268"/>
      <w:bookmarkEnd w:id="269"/>
      <w:bookmarkEnd w:id="270"/>
      <w:bookmarkEnd w:id="271"/>
      <w:bookmarkEnd w:id="272"/>
      <w:bookmarkEnd w:id="273"/>
      <w:bookmarkEnd w:id="274"/>
      <w:bookmarkEnd w:id="275"/>
    </w:p>
    <w:p w14:paraId="46ACA891">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2.4.1 提供施工现场</w:t>
      </w:r>
    </w:p>
    <w:p w14:paraId="4702105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关于发包人移交施工现场的期限要求：</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EB2DD3F">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2.4.2 提供施工条件</w:t>
      </w:r>
    </w:p>
    <w:p w14:paraId="58ABC3D1">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关于发包人应负责提供施工所需要的条件，包括：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Start w:id="276" w:name="_Toc32559"/>
      <w:bookmarkStart w:id="277" w:name="_Toc11212"/>
      <w:bookmarkStart w:id="278" w:name="_Toc1088"/>
      <w:bookmarkStart w:id="279" w:name="_Toc20436"/>
      <w:bookmarkStart w:id="280" w:name="_Toc19278"/>
      <w:bookmarkStart w:id="281" w:name="_Toc3739"/>
      <w:bookmarkStart w:id="282" w:name="_Toc6893"/>
      <w:bookmarkStart w:id="283" w:name="_Toc26388"/>
      <w:bookmarkStart w:id="284" w:name="_Toc2049"/>
      <w:bookmarkStart w:id="285" w:name="_Toc23376"/>
      <w:bookmarkStart w:id="286" w:name="_Toc29913"/>
      <w:bookmarkStart w:id="287" w:name="_Toc23859"/>
      <w:bookmarkStart w:id="288" w:name="_Toc6744"/>
      <w:bookmarkStart w:id="289" w:name="_Toc22867"/>
    </w:p>
    <w:p w14:paraId="355D467C">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 资金来源证明及支付担保</w:t>
      </w:r>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p>
    <w:p w14:paraId="6FE34529">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发包人提供资金来源证明的期限要求：</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E612BF5">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发包人是否提供支付担保：</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D76D56F">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发包人提供支付担保的形式：</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72B39CC1">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290" w:name="_Toc9922"/>
      <w:r>
        <w:rPr>
          <w:rFonts w:hint="eastAsia" w:ascii="宋体" w:hAnsi="宋体" w:eastAsia="宋体" w:cs="宋体"/>
          <w:b/>
          <w:bCs w:val="0"/>
          <w:color w:val="auto"/>
          <w:sz w:val="24"/>
          <w:szCs w:val="24"/>
          <w:highlight w:val="none"/>
        </w:rPr>
        <w:t>3</w:t>
      </w:r>
      <w:bookmarkStart w:id="291" w:name="_Toc292559868"/>
      <w:bookmarkStart w:id="292" w:name="_Toc296503158"/>
      <w:bookmarkStart w:id="293" w:name="_Toc296346659"/>
      <w:bookmarkStart w:id="294" w:name="_Toc292559363"/>
      <w:bookmarkStart w:id="295" w:name="_Toc297120458"/>
      <w:bookmarkStart w:id="296" w:name="_Toc296891198"/>
      <w:bookmarkStart w:id="297" w:name="_Toc296890986"/>
      <w:bookmarkStart w:id="298" w:name="_Toc296347157"/>
      <w:bookmarkStart w:id="299" w:name="_Toc296944497"/>
      <w:bookmarkStart w:id="300" w:name="_Toc297048344"/>
      <w:r>
        <w:rPr>
          <w:rFonts w:hint="eastAsia" w:ascii="宋体" w:hAnsi="宋体" w:eastAsia="宋体" w:cs="宋体"/>
          <w:b/>
          <w:bCs w:val="0"/>
          <w:color w:val="auto"/>
          <w:sz w:val="24"/>
          <w:szCs w:val="24"/>
          <w:highlight w:val="none"/>
        </w:rPr>
        <w:t>. 承包人</w:t>
      </w:r>
      <w:bookmarkEnd w:id="290"/>
    </w:p>
    <w:bookmarkEnd w:id="291"/>
    <w:bookmarkEnd w:id="292"/>
    <w:bookmarkEnd w:id="293"/>
    <w:bookmarkEnd w:id="294"/>
    <w:bookmarkEnd w:id="295"/>
    <w:bookmarkEnd w:id="296"/>
    <w:bookmarkEnd w:id="297"/>
    <w:bookmarkEnd w:id="298"/>
    <w:bookmarkEnd w:id="299"/>
    <w:bookmarkEnd w:id="300"/>
    <w:p w14:paraId="4534C6FF">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 承包人的一般义务</w:t>
      </w:r>
    </w:p>
    <w:p w14:paraId="57B576E2">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（9）承包人提交的竣工资料的内容：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21CD3C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承包人需要提交的竣工资料套数：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4EE587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承包人提交的竣工资料的费用承担：</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7AD9EA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承包人提交的竣工资料移交时间：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CD86AB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承包人提交的竣工资料形式要求：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64E05A3">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（10）承包人应履行的其他义务：</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D86F465">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 项目经理</w:t>
      </w:r>
    </w:p>
    <w:p w14:paraId="64D21E37">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 xml:space="preserve">3.2.1 </w:t>
      </w:r>
      <w:r>
        <w:rPr>
          <w:rFonts w:hint="eastAsia" w:ascii="宋体" w:hAnsi="宋体" w:eastAsia="宋体" w:cs="宋体"/>
          <w:color w:val="auto"/>
          <w:sz w:val="24"/>
          <w:szCs w:val="24"/>
          <w:highlight w:val="none"/>
        </w:rPr>
        <w:t>项目经理：</w:t>
      </w:r>
    </w:p>
    <w:p w14:paraId="2FC70B23">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4EF6D18C">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7B02CC57">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建造师执业资格等级：</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21974121">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建造师注册证书号：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4CD06769">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建造师执业印章号：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19437475">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安全生产考核合格证书号：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64F36FA9">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619D48D0">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74815851">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76FFF0AF">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承包人对项目经理的授权范围如下：</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538673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关于项目经理每月在施工现场的时间要求：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681CF8BF">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承包人未提交劳动合同，以及没有为项目经理缴纳社会保险证明的违约责任：</w:t>
      </w:r>
    </w:p>
    <w:p w14:paraId="633D6F5F">
      <w:pPr>
        <w:pageBreakBefore w:val="0"/>
        <w:widowControl w:val="0"/>
        <w:kinsoku/>
        <w:wordWrap/>
        <w:overflowPunct/>
        <w:topLinePunct w:val="0"/>
        <w:bidi w:val="0"/>
        <w:snapToGrid/>
        <w:spacing w:line="380" w:lineRule="exac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0497B7D6">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项目经理未经批准，擅自离开施工现场的违约责任：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19E57289">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3.2.3 承包人擅自更换项目经理的违约责任：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26A07B8D">
      <w:pPr>
        <w:pageBreakBefore w:val="0"/>
        <w:widowControl w:val="0"/>
        <w:kinsoku/>
        <w:wordWrap/>
        <w:overflowPunct/>
        <w:topLinePunct w:val="0"/>
        <w:bidi w:val="0"/>
        <w:snapToGrid/>
        <w:spacing w:line="380" w:lineRule="exact"/>
        <w:ind w:firstLine="480"/>
        <w:textAlignment w:val="auto"/>
        <w:outlineLvl w:val="0"/>
        <w:rPr>
          <w:rFonts w:hint="eastAsia" w:ascii="宋体" w:hAnsi="宋体" w:eastAsia="宋体" w:cs="宋体"/>
          <w:color w:val="auto"/>
          <w:sz w:val="24"/>
          <w:szCs w:val="24"/>
          <w:highlight w:val="none"/>
        </w:rPr>
      </w:pPr>
      <w:bookmarkStart w:id="301" w:name="_Toc2234"/>
      <w:bookmarkStart w:id="302" w:name="_Toc23733"/>
      <w:bookmarkStart w:id="303" w:name="_Toc20430"/>
      <w:bookmarkStart w:id="304" w:name="_Toc23713"/>
      <w:bookmarkStart w:id="305" w:name="_Toc31006"/>
      <w:bookmarkStart w:id="306" w:name="_Toc30431"/>
      <w:bookmarkStart w:id="307" w:name="_Toc21195"/>
      <w:bookmarkStart w:id="308" w:name="_Toc14858"/>
      <w:bookmarkStart w:id="309" w:name="_Toc12232"/>
      <w:bookmarkStart w:id="310" w:name="_Toc27832"/>
      <w:bookmarkStart w:id="311" w:name="_Toc2497"/>
      <w:bookmarkStart w:id="312" w:name="_Toc19814"/>
      <w:bookmarkStart w:id="313" w:name="_Toc26030"/>
      <w:bookmarkStart w:id="314" w:name="_Toc2778"/>
      <w:bookmarkStart w:id="315" w:name="_Toc7931"/>
      <w:bookmarkStart w:id="316" w:name="_Toc24684"/>
      <w:r>
        <w:rPr>
          <w:rFonts w:hint="eastAsia" w:ascii="宋体" w:hAnsi="宋体" w:eastAsia="宋体" w:cs="宋体"/>
          <w:color w:val="auto"/>
          <w:sz w:val="24"/>
          <w:szCs w:val="24"/>
          <w:highlight w:val="none"/>
        </w:rPr>
        <w:t>3.2.4 承包人无正当理由拒绝更换项目经理的违约责任：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p>
    <w:p w14:paraId="3E4984B3">
      <w:pPr>
        <w:pageBreakBefore w:val="0"/>
        <w:widowControl w:val="0"/>
        <w:kinsoku/>
        <w:wordWrap/>
        <w:overflowPunct/>
        <w:topLinePunct w:val="0"/>
        <w:bidi w:val="0"/>
        <w:snapToGrid/>
        <w:spacing w:line="380" w:lineRule="exact"/>
        <w:ind w:firstLine="480"/>
        <w:textAlignment w:val="auto"/>
        <w:outlineLvl w:val="0"/>
        <w:rPr>
          <w:rFonts w:hint="eastAsia" w:ascii="宋体" w:hAnsi="宋体" w:eastAsia="宋体" w:cs="宋体"/>
          <w:color w:val="auto"/>
          <w:sz w:val="24"/>
          <w:szCs w:val="24"/>
          <w:highlight w:val="none"/>
        </w:rPr>
      </w:pPr>
      <w:bookmarkStart w:id="317" w:name="_Toc1781"/>
      <w:bookmarkStart w:id="318" w:name="_Toc9208"/>
      <w:r>
        <w:rPr>
          <w:rFonts w:hint="eastAsia" w:ascii="宋体" w:hAnsi="宋体" w:eastAsia="宋体" w:cs="宋体"/>
          <w:color w:val="auto"/>
          <w:sz w:val="24"/>
          <w:szCs w:val="24"/>
          <w:highlight w:val="none"/>
        </w:rPr>
        <w:t>3.3 承包人人员</w:t>
      </w:r>
      <w:bookmarkEnd w:id="317"/>
      <w:bookmarkEnd w:id="318"/>
    </w:p>
    <w:p w14:paraId="4F446572">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3.3.1 承包人提交项目管理机构及施工现场管理人员安排报告的期限：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356B17DC">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3.3.3 承包人无正当理由拒绝撤换主要施工管理人员的违约责任：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0E5D0C2">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3.3.4 承包人主要施工管理人员离开施工现场的批准要求：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863771D">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3.3.5承包人擅自更换主要施工管理人员的违约责任：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4105F44">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承包人主要施工管理人员擅自离开施工现场的违约责任：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8B101F7">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bookmarkStart w:id="319" w:name="_Toc297123492"/>
      <w:bookmarkStart w:id="320" w:name="_Toc297216151"/>
      <w:bookmarkStart w:id="321" w:name="_Toc296891199"/>
      <w:bookmarkStart w:id="322" w:name="_Toc296347158"/>
      <w:bookmarkStart w:id="323" w:name="_Toc300934945"/>
      <w:bookmarkStart w:id="324" w:name="_Toc312677988"/>
      <w:bookmarkStart w:id="325" w:name="_Toc297120459"/>
      <w:bookmarkStart w:id="326" w:name="_Toc292559869"/>
      <w:bookmarkStart w:id="327" w:name="_Toc297048345"/>
      <w:bookmarkStart w:id="328" w:name="_Toc296503159"/>
      <w:bookmarkStart w:id="329" w:name="_Toc292559364"/>
      <w:bookmarkStart w:id="330" w:name="_Toc296944498"/>
      <w:bookmarkStart w:id="331" w:name="_Toc304295523"/>
      <w:bookmarkStart w:id="332" w:name="_Toc303539102"/>
      <w:bookmarkStart w:id="333" w:name="_Toc296890987"/>
      <w:bookmarkStart w:id="334" w:name="_Toc296346660"/>
      <w:r>
        <w:rPr>
          <w:rFonts w:hint="eastAsia" w:ascii="宋体" w:hAnsi="宋体" w:eastAsia="宋体" w:cs="宋体"/>
          <w:color w:val="auto"/>
          <w:sz w:val="24"/>
          <w:szCs w:val="24"/>
          <w:highlight w:val="none"/>
        </w:rPr>
        <w:t>.5 分包</w:t>
      </w:r>
    </w:p>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p w14:paraId="3F8DCA4C">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bookmarkStart w:id="335" w:name="_Toc296346661"/>
      <w:bookmarkStart w:id="336" w:name="_Toc304295524"/>
      <w:bookmarkStart w:id="337" w:name="_Toc296944499"/>
      <w:bookmarkStart w:id="338" w:name="_Toc297123493"/>
      <w:bookmarkStart w:id="339" w:name="_Toc297120460"/>
      <w:bookmarkStart w:id="340" w:name="_Toc292559365"/>
      <w:bookmarkStart w:id="341" w:name="_Toc296890988"/>
      <w:bookmarkStart w:id="342" w:name="_Toc296503160"/>
      <w:bookmarkStart w:id="343" w:name="_Toc300934946"/>
      <w:bookmarkStart w:id="344" w:name="_Toc312677989"/>
      <w:bookmarkStart w:id="345" w:name="_Toc297216152"/>
      <w:bookmarkStart w:id="346" w:name="_Toc296347159"/>
      <w:bookmarkStart w:id="347" w:name="_Toc292559870"/>
      <w:bookmarkStart w:id="348" w:name="_Toc318581158"/>
      <w:bookmarkStart w:id="349" w:name="_Toc303539103"/>
      <w:bookmarkStart w:id="350" w:name="_Toc297048346"/>
      <w:bookmarkStart w:id="351" w:name="_Toc296891200"/>
      <w:r>
        <w:rPr>
          <w:rFonts w:hint="eastAsia" w:ascii="宋体" w:hAnsi="宋体" w:eastAsia="宋体" w:cs="宋体"/>
          <w:color w:val="auto"/>
          <w:sz w:val="24"/>
          <w:szCs w:val="24"/>
          <w:highlight w:val="none"/>
        </w:rPr>
        <w:t>.5.1 分包的一般约定</w:t>
      </w:r>
    </w:p>
    <w:p w14:paraId="5B1F9E5C">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禁止分包的工程包括：</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417639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主体结构、关键性工作的范围：</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p>
    <w:p w14:paraId="002AEED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bookmarkStart w:id="352" w:name="_Toc318581159"/>
      <w:bookmarkStart w:id="353" w:name="_Toc312677990"/>
      <w:r>
        <w:rPr>
          <w:rFonts w:hint="eastAsia" w:ascii="宋体" w:hAnsi="宋体" w:eastAsia="宋体" w:cs="宋体"/>
          <w:color w:val="auto"/>
          <w:sz w:val="24"/>
          <w:szCs w:val="24"/>
          <w:highlight w:val="none"/>
        </w:rPr>
        <w:t>.5.2分包的确定</w:t>
      </w:r>
    </w:p>
    <w:p w14:paraId="16CD0496">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允许分包的专业工程包括：</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3C147A9">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其他关于分包的约定：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B6C8804">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3.5.4 分包合同价款</w:t>
      </w:r>
    </w:p>
    <w:p w14:paraId="270F7BFA">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关于分包合同价款支付的约定：</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352"/>
    <w:bookmarkEnd w:id="353"/>
    <w:p w14:paraId="20E1583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 工程照管与成品、半成品保护</w:t>
      </w:r>
    </w:p>
    <w:p w14:paraId="799409B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承包人负责照管工程及工程相关的材料、工程设备的起始时间：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7B744B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 履约担保</w:t>
      </w:r>
    </w:p>
    <w:p w14:paraId="636D905C">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承包人是否提供履约担保：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2E4204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承包人提供履约担保的形式、金额及期限的：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79C06B9">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354" w:name="_Toc20269"/>
      <w:r>
        <w:rPr>
          <w:rFonts w:hint="eastAsia" w:ascii="宋体" w:hAnsi="宋体" w:eastAsia="宋体" w:cs="宋体"/>
          <w:b/>
          <w:bCs w:val="0"/>
          <w:color w:val="auto"/>
          <w:sz w:val="24"/>
          <w:szCs w:val="24"/>
          <w:highlight w:val="none"/>
        </w:rPr>
        <w:t>4</w:t>
      </w:r>
      <w:bookmarkStart w:id="355" w:name="_Toc296346663"/>
      <w:bookmarkStart w:id="356" w:name="_Toc292559366"/>
      <w:bookmarkStart w:id="357" w:name="_Toc297120462"/>
      <w:bookmarkStart w:id="358" w:name="_Toc296890990"/>
      <w:bookmarkStart w:id="359" w:name="_Toc297048348"/>
      <w:bookmarkStart w:id="360" w:name="_Toc296503162"/>
      <w:bookmarkStart w:id="361" w:name="_Toc267251413"/>
      <w:bookmarkStart w:id="362" w:name="_Toc296891202"/>
      <w:bookmarkStart w:id="363" w:name="_Toc292559871"/>
      <w:bookmarkStart w:id="364" w:name="_Toc296347161"/>
      <w:bookmarkStart w:id="365" w:name="_Toc296944501"/>
      <w:r>
        <w:rPr>
          <w:rFonts w:hint="eastAsia" w:ascii="宋体" w:hAnsi="宋体" w:eastAsia="宋体" w:cs="宋体"/>
          <w:b/>
          <w:bCs w:val="0"/>
          <w:color w:val="auto"/>
          <w:sz w:val="24"/>
          <w:szCs w:val="24"/>
          <w:highlight w:val="none"/>
        </w:rPr>
        <w:t>. 监</w:t>
      </w:r>
      <w:bookmarkEnd w:id="355"/>
      <w:bookmarkEnd w:id="356"/>
      <w:bookmarkEnd w:id="357"/>
      <w:bookmarkEnd w:id="358"/>
      <w:bookmarkEnd w:id="359"/>
      <w:bookmarkEnd w:id="360"/>
      <w:bookmarkEnd w:id="361"/>
      <w:bookmarkEnd w:id="362"/>
      <w:bookmarkEnd w:id="363"/>
      <w:bookmarkEnd w:id="364"/>
      <w:bookmarkEnd w:id="365"/>
      <w:r>
        <w:rPr>
          <w:rFonts w:hint="eastAsia" w:ascii="宋体" w:hAnsi="宋体" w:eastAsia="宋体" w:cs="宋体"/>
          <w:b/>
          <w:bCs w:val="0"/>
          <w:color w:val="auto"/>
          <w:sz w:val="24"/>
          <w:szCs w:val="24"/>
          <w:highlight w:val="none"/>
        </w:rPr>
        <w:t>理人</w:t>
      </w:r>
      <w:bookmarkEnd w:id="354"/>
    </w:p>
    <w:p w14:paraId="6D5154B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4.1监理人的一般规定</w:t>
      </w:r>
    </w:p>
    <w:p w14:paraId="01C6B11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关于监理人的监理内容：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1A1D658">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关于监理人的监理权限：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358A8BE5">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关于监理人在施工现场的办公场所、生活场所的提供和费用承担的约定：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413C32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 监理人员</w:t>
      </w:r>
    </w:p>
    <w:p w14:paraId="4FEE3586">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总监理工程师：</w:t>
      </w:r>
    </w:p>
    <w:p w14:paraId="1563B9BD">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484B34D8">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    务：</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6BFB546C">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监理工程师执业资格证书号：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3EDA9CBA">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5A644050">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2C0476E6">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04DE332C">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关于监理人的其他约定：</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rPr>
        <w:t>。</w:t>
      </w:r>
    </w:p>
    <w:p w14:paraId="54A31970">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 商定或确定</w:t>
      </w:r>
    </w:p>
    <w:p w14:paraId="524DF802">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366" w:name="_Toc267251418"/>
      <w:r>
        <w:rPr>
          <w:rFonts w:hint="eastAsia" w:ascii="宋体" w:hAnsi="宋体" w:eastAsia="宋体" w:cs="宋体"/>
          <w:color w:val="auto"/>
          <w:sz w:val="24"/>
          <w:szCs w:val="24"/>
          <w:highlight w:val="none"/>
        </w:rPr>
        <w:t>在发包人和承包人不能通过协商达成一致意见时，发包人授权监理人对以下事项进行确定：</w:t>
      </w:r>
    </w:p>
    <w:p w14:paraId="2E1E15C2">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0BF3BC8">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3C118BE">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DB04056">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367" w:name="_Toc15811"/>
      <w:r>
        <w:rPr>
          <w:rFonts w:hint="eastAsia" w:ascii="宋体" w:hAnsi="宋体" w:eastAsia="宋体" w:cs="宋体"/>
          <w:b/>
          <w:bCs w:val="0"/>
          <w:color w:val="auto"/>
          <w:sz w:val="24"/>
          <w:szCs w:val="24"/>
          <w:highlight w:val="none"/>
        </w:rPr>
        <w:t>5</w:t>
      </w:r>
      <w:bookmarkEnd w:id="366"/>
      <w:bookmarkStart w:id="368" w:name="_Toc296890991"/>
      <w:bookmarkStart w:id="369" w:name="_Toc296944502"/>
      <w:bookmarkStart w:id="370" w:name="_Toc297048349"/>
      <w:bookmarkStart w:id="371" w:name="_Toc296891203"/>
      <w:bookmarkStart w:id="372" w:name="_Toc296347162"/>
      <w:bookmarkStart w:id="373" w:name="_Toc292559872"/>
      <w:bookmarkStart w:id="374" w:name="_Toc292559367"/>
      <w:bookmarkStart w:id="375" w:name="_Toc296346664"/>
      <w:bookmarkStart w:id="376" w:name="_Toc296503163"/>
      <w:bookmarkStart w:id="377" w:name="_Toc297120463"/>
      <w:r>
        <w:rPr>
          <w:rFonts w:hint="eastAsia" w:ascii="宋体" w:hAnsi="宋体" w:eastAsia="宋体" w:cs="宋体"/>
          <w:b/>
          <w:bCs w:val="0"/>
          <w:color w:val="auto"/>
          <w:sz w:val="24"/>
          <w:szCs w:val="24"/>
          <w:highlight w:val="none"/>
        </w:rPr>
        <w:t>. 工程质量</w:t>
      </w:r>
      <w:bookmarkEnd w:id="367"/>
    </w:p>
    <w:p w14:paraId="1C37D873">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378" w:name="_Toc10006"/>
      <w:bookmarkStart w:id="379" w:name="_Toc8908"/>
      <w:bookmarkStart w:id="380" w:name="_Toc29618"/>
      <w:bookmarkStart w:id="381" w:name="_Toc27465"/>
      <w:bookmarkStart w:id="382" w:name="_Toc7749"/>
      <w:bookmarkStart w:id="383" w:name="_Toc5035"/>
      <w:bookmarkStart w:id="384" w:name="_Toc22323"/>
      <w:bookmarkStart w:id="385" w:name="_Toc14117"/>
      <w:bookmarkStart w:id="386" w:name="_Toc11307"/>
      <w:bookmarkStart w:id="387" w:name="_Toc30037"/>
      <w:bookmarkStart w:id="388" w:name="_Toc8931"/>
      <w:bookmarkStart w:id="389" w:name="_Toc14347"/>
      <w:bookmarkStart w:id="390" w:name="_Toc4413"/>
      <w:bookmarkStart w:id="391" w:name="_Toc1814"/>
      <w:r>
        <w:rPr>
          <w:rFonts w:hint="eastAsia" w:ascii="宋体" w:hAnsi="宋体" w:eastAsia="宋体" w:cs="宋体"/>
          <w:color w:val="auto"/>
          <w:sz w:val="24"/>
          <w:szCs w:val="24"/>
          <w:highlight w:val="none"/>
        </w:rPr>
        <w:t>5.1 质量要求</w:t>
      </w:r>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p>
    <w:p w14:paraId="7CA003F0">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392" w:name="_Toc29834"/>
      <w:bookmarkStart w:id="393" w:name="_Toc4009"/>
      <w:bookmarkStart w:id="394" w:name="_Toc28746"/>
      <w:bookmarkStart w:id="395" w:name="_Toc14397"/>
      <w:bookmarkStart w:id="396" w:name="_Toc25483"/>
      <w:bookmarkStart w:id="397" w:name="_Toc29853"/>
      <w:bookmarkStart w:id="398" w:name="_Toc2758"/>
      <w:bookmarkStart w:id="399" w:name="_Toc28669"/>
      <w:bookmarkStart w:id="400" w:name="_Toc1183"/>
      <w:bookmarkStart w:id="401" w:name="_Toc876"/>
      <w:bookmarkStart w:id="402" w:name="_Toc15679"/>
      <w:bookmarkStart w:id="403" w:name="_Toc4347"/>
      <w:bookmarkStart w:id="404" w:name="_Toc30264"/>
      <w:r>
        <w:rPr>
          <w:rFonts w:hint="eastAsia" w:ascii="宋体" w:hAnsi="宋体" w:eastAsia="宋体" w:cs="宋体"/>
          <w:color w:val="auto"/>
          <w:sz w:val="24"/>
          <w:szCs w:val="24"/>
          <w:highlight w:val="none"/>
        </w:rPr>
        <w:t>5</w:t>
      </w:r>
      <w:bookmarkStart w:id="405" w:name="_Toc304295527"/>
      <w:bookmarkStart w:id="406" w:name="_Toc312677997"/>
      <w:bookmarkStart w:id="407" w:name="_Toc297123496"/>
      <w:bookmarkStart w:id="408" w:name="_Toc318581164"/>
      <w:bookmarkStart w:id="409" w:name="_Toc303539106"/>
      <w:bookmarkStart w:id="410" w:name="_Toc297216155"/>
      <w:bookmarkStart w:id="411" w:name="_Toc300934949"/>
      <w:r>
        <w:rPr>
          <w:rFonts w:hint="eastAsia" w:ascii="宋体" w:hAnsi="宋体" w:eastAsia="宋体" w:cs="宋体"/>
          <w:color w:val="auto"/>
          <w:sz w:val="24"/>
          <w:szCs w:val="24"/>
          <w:highlight w:val="none"/>
        </w:rPr>
        <w:t>.1.1 特殊质量标准和要求：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392"/>
      <w:bookmarkEnd w:id="393"/>
      <w:bookmarkEnd w:id="394"/>
      <w:bookmarkEnd w:id="395"/>
      <w:bookmarkEnd w:id="396"/>
      <w:bookmarkEnd w:id="397"/>
      <w:bookmarkEnd w:id="398"/>
      <w:bookmarkEnd w:id="399"/>
      <w:bookmarkEnd w:id="400"/>
      <w:bookmarkEnd w:id="401"/>
      <w:bookmarkEnd w:id="402"/>
      <w:bookmarkEnd w:id="403"/>
      <w:bookmarkEnd w:id="404"/>
      <w:bookmarkStart w:id="412" w:name="_Toc27765"/>
      <w:bookmarkStart w:id="413" w:name="_Toc9486"/>
      <w:bookmarkStart w:id="414" w:name="_Toc6619"/>
      <w:bookmarkStart w:id="415" w:name="_Toc4616"/>
      <w:bookmarkStart w:id="416" w:name="_Toc13302"/>
      <w:bookmarkStart w:id="417" w:name="_Toc8848"/>
      <w:bookmarkStart w:id="418" w:name="_Toc18959"/>
      <w:bookmarkStart w:id="419" w:name="_Toc26479"/>
      <w:bookmarkStart w:id="420" w:name="_Toc6940"/>
      <w:bookmarkStart w:id="421" w:name="_Toc13893"/>
      <w:bookmarkStart w:id="422" w:name="_Toc29950"/>
      <w:bookmarkStart w:id="423" w:name="_Toc148"/>
      <w:bookmarkStart w:id="424" w:name="_Toc15801"/>
    </w:p>
    <w:p w14:paraId="5D5DE5D4">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关于工程奖项的约定：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412"/>
      <w:bookmarkEnd w:id="413"/>
      <w:bookmarkEnd w:id="414"/>
      <w:bookmarkEnd w:id="415"/>
      <w:bookmarkEnd w:id="416"/>
      <w:bookmarkEnd w:id="417"/>
      <w:bookmarkEnd w:id="418"/>
      <w:bookmarkEnd w:id="419"/>
      <w:bookmarkEnd w:id="420"/>
      <w:bookmarkEnd w:id="421"/>
      <w:bookmarkEnd w:id="422"/>
      <w:bookmarkEnd w:id="423"/>
      <w:bookmarkEnd w:id="424"/>
      <w:bookmarkStart w:id="425" w:name="_Toc781"/>
      <w:bookmarkStart w:id="426" w:name="_Toc15548"/>
      <w:bookmarkStart w:id="427" w:name="_Toc32096"/>
      <w:bookmarkStart w:id="428" w:name="_Toc23217"/>
      <w:bookmarkStart w:id="429" w:name="_Toc22055"/>
      <w:bookmarkStart w:id="430" w:name="_Toc4938"/>
      <w:bookmarkStart w:id="431" w:name="_Toc14862"/>
      <w:bookmarkStart w:id="432" w:name="_Toc8906"/>
      <w:bookmarkStart w:id="433" w:name="_Toc25976"/>
      <w:bookmarkStart w:id="434" w:name="_Toc20428"/>
      <w:bookmarkStart w:id="435" w:name="_Toc9678"/>
      <w:bookmarkStart w:id="436" w:name="_Toc31180"/>
      <w:bookmarkStart w:id="437" w:name="_Toc25463"/>
      <w:bookmarkStart w:id="438" w:name="_Toc7465"/>
    </w:p>
    <w:p w14:paraId="76B3A94C">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5.3 隐蔽工程检查</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p>
    <w:p w14:paraId="5DF07B03">
      <w:pPr>
        <w:pageBreakBefore w:val="0"/>
        <w:widowControl w:val="0"/>
        <w:kinsoku/>
        <w:wordWrap/>
        <w:overflowPunct/>
        <w:topLinePunct w:val="0"/>
        <w:bidi w:val="0"/>
        <w:snapToGrid/>
        <w:spacing w:line="380" w:lineRule="exact"/>
        <w:ind w:firstLine="480" w:firstLineChars="200"/>
        <w:textAlignment w:val="auto"/>
        <w:rPr>
          <w:rFonts w:hint="eastAsia" w:ascii="宋体" w:hAnsi="宋体" w:eastAsia="宋体" w:cs="宋体"/>
          <w:color w:val="auto"/>
          <w:sz w:val="24"/>
          <w:szCs w:val="24"/>
          <w:highlight w:val="none"/>
        </w:rPr>
      </w:pPr>
      <w:bookmarkStart w:id="439" w:name="_Toc30092"/>
      <w:bookmarkStart w:id="440" w:name="_Toc31311"/>
      <w:bookmarkStart w:id="441" w:name="_Toc15678"/>
      <w:bookmarkStart w:id="442" w:name="_Toc29664"/>
      <w:bookmarkStart w:id="443" w:name="_Toc1061"/>
      <w:bookmarkStart w:id="444" w:name="_Toc25977"/>
      <w:bookmarkStart w:id="445" w:name="_Toc27341"/>
      <w:bookmarkStart w:id="446" w:name="_Toc19435"/>
      <w:bookmarkStart w:id="447" w:name="_Toc22790"/>
      <w:bookmarkStart w:id="448" w:name="_Toc30090"/>
      <w:bookmarkStart w:id="449" w:name="_Toc6855"/>
      <w:bookmarkStart w:id="450" w:name="_Toc5993"/>
      <w:bookmarkStart w:id="451" w:name="_Toc14391"/>
      <w:r>
        <w:rPr>
          <w:rFonts w:hint="eastAsia" w:ascii="宋体" w:hAnsi="宋体" w:eastAsia="宋体" w:cs="宋体"/>
          <w:color w:val="auto"/>
          <w:sz w:val="24"/>
          <w:szCs w:val="24"/>
          <w:highlight w:val="none"/>
        </w:rPr>
        <w:t>5.3.2承包人提前通知监理人隐蔽工程检查的期限的约定：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439"/>
      <w:bookmarkEnd w:id="440"/>
      <w:bookmarkEnd w:id="441"/>
      <w:bookmarkEnd w:id="442"/>
      <w:bookmarkEnd w:id="443"/>
      <w:bookmarkEnd w:id="444"/>
      <w:bookmarkEnd w:id="445"/>
      <w:bookmarkEnd w:id="446"/>
      <w:bookmarkEnd w:id="447"/>
      <w:bookmarkEnd w:id="448"/>
      <w:bookmarkEnd w:id="449"/>
      <w:bookmarkEnd w:id="450"/>
      <w:bookmarkEnd w:id="451"/>
    </w:p>
    <w:p w14:paraId="33B5654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监理人不能按时进行检查时，应提前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小时提交书面延期要求。</w:t>
      </w:r>
    </w:p>
    <w:p w14:paraId="29ECAA0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关于延期最长不得超过：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w:t>
      </w:r>
    </w:p>
    <w:p w14:paraId="06450B82">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452" w:name="_Toc24529"/>
      <w:r>
        <w:rPr>
          <w:rFonts w:hint="eastAsia" w:ascii="宋体" w:hAnsi="宋体" w:eastAsia="宋体" w:cs="宋体"/>
          <w:b/>
          <w:bCs w:val="0"/>
          <w:color w:val="auto"/>
          <w:sz w:val="24"/>
          <w:szCs w:val="24"/>
          <w:highlight w:val="none"/>
        </w:rPr>
        <w:t>6. 安全文明施工与环境保护</w:t>
      </w:r>
      <w:bookmarkEnd w:id="452"/>
    </w:p>
    <w:p w14:paraId="3043A75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6.1安全文明施工</w:t>
      </w:r>
    </w:p>
    <w:p w14:paraId="36BFA6D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6.1.1 项目安全生产的达标目标及相应事项的约定：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828432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6.1.4 关于治安保卫的特别约定：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05FE09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关于编制施工场地治安管理计划的约定：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30B11F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6.1.5 文明施工</w:t>
      </w:r>
    </w:p>
    <w:p w14:paraId="6896AC3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合同当事人对文明施工的要求：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7FB0CF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6.1.6 关于安全文明施工费支付比例和支付期限的约定：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405"/>
    <w:bookmarkEnd w:id="406"/>
    <w:bookmarkEnd w:id="407"/>
    <w:bookmarkEnd w:id="408"/>
    <w:bookmarkEnd w:id="409"/>
    <w:bookmarkEnd w:id="410"/>
    <w:bookmarkEnd w:id="411"/>
    <w:p w14:paraId="75B5427E">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453" w:name="_Toc1765"/>
      <w:r>
        <w:rPr>
          <w:rFonts w:hint="eastAsia" w:ascii="宋体" w:hAnsi="宋体" w:eastAsia="宋体" w:cs="宋体"/>
          <w:b/>
          <w:bCs w:val="0"/>
          <w:color w:val="auto"/>
          <w:sz w:val="24"/>
          <w:szCs w:val="24"/>
          <w:highlight w:val="none"/>
        </w:rPr>
        <w:t>7. 工期和进度</w:t>
      </w:r>
      <w:bookmarkEnd w:id="453"/>
    </w:p>
    <w:p w14:paraId="3D0E02C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 施工组织设计</w:t>
      </w:r>
    </w:p>
    <w:p w14:paraId="7912CDCB">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7.1.1 合同</w:t>
      </w:r>
      <w:r>
        <w:rPr>
          <w:rFonts w:hint="eastAsia" w:ascii="宋体" w:hAnsi="宋体" w:eastAsia="宋体" w:cs="宋体"/>
          <w:color w:val="auto"/>
          <w:kern w:val="0"/>
          <w:sz w:val="24"/>
          <w:szCs w:val="24"/>
          <w:highlight w:val="none"/>
        </w:rPr>
        <w:t>当事人约定的施工组织设计应包括的其他内容：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F75FEDC">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 xml:space="preserve">7.1.2 </w:t>
      </w:r>
      <w:r>
        <w:rPr>
          <w:rFonts w:hint="eastAsia" w:ascii="宋体" w:hAnsi="宋体" w:eastAsia="宋体" w:cs="宋体"/>
          <w:color w:val="auto"/>
          <w:kern w:val="0"/>
          <w:sz w:val="24"/>
          <w:szCs w:val="24"/>
          <w:highlight w:val="none"/>
        </w:rPr>
        <w:t>施工组织设计的提交和修改</w:t>
      </w:r>
    </w:p>
    <w:p w14:paraId="3202ADCA">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承包人提交详细施工组织设计的期限的约定：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382D2DC">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发包人和监理人在收到详细的施工组织设计后确认或提出修改意见的期限：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9EB5279">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454" w:name="_Toc297123514"/>
      <w:bookmarkStart w:id="455" w:name="_Toc300934966"/>
      <w:bookmarkStart w:id="456" w:name="_Toc303539123"/>
      <w:bookmarkStart w:id="457" w:name="_Toc297216173"/>
      <w:bookmarkStart w:id="458" w:name="_Toc304295541"/>
      <w:bookmarkStart w:id="459" w:name="_Toc312678005"/>
      <w:bookmarkStart w:id="460" w:name="_Toc312677479"/>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2 施工进度计划</w:t>
      </w:r>
    </w:p>
    <w:p w14:paraId="403E4DB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7.2.2 施工进度计划的修订</w:t>
      </w:r>
    </w:p>
    <w:p w14:paraId="4EFDFF08">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发包人和监理人在收到修订的施工进度计划后确认或提出修改意见的期限：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74C740E1">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 开工</w:t>
      </w:r>
    </w:p>
    <w:p w14:paraId="4206F939">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7.3.1 开工准备</w:t>
      </w:r>
    </w:p>
    <w:p w14:paraId="335EB0DD">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关于承包人提交</w:t>
      </w:r>
      <w:r>
        <w:rPr>
          <w:rFonts w:hint="eastAsia" w:ascii="宋体" w:hAnsi="宋体" w:eastAsia="宋体" w:cs="宋体"/>
          <w:color w:val="auto"/>
          <w:kern w:val="0"/>
          <w:sz w:val="24"/>
          <w:szCs w:val="24"/>
          <w:highlight w:val="none"/>
        </w:rPr>
        <w:t>工程开工报审表的期限：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D02174D">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关于发包人应完成的其他开工准备工作及期限：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326EA8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关于承包人应完成的其他开工准备工作及期限：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2CAEC3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7.3.2开工通知</w:t>
      </w:r>
    </w:p>
    <w:p w14:paraId="22B7480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因发包人原因造成监理人未能在计划开工日期之日起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天内发出开工通知的，承包人有权提出价格调整要求，或者解除合同。</w:t>
      </w:r>
      <w:bookmarkEnd w:id="454"/>
      <w:bookmarkEnd w:id="455"/>
      <w:bookmarkEnd w:id="456"/>
      <w:bookmarkEnd w:id="457"/>
      <w:bookmarkEnd w:id="458"/>
      <w:bookmarkEnd w:id="459"/>
      <w:bookmarkEnd w:id="460"/>
    </w:p>
    <w:p w14:paraId="4C03F8CB">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7.4 测量放线</w:t>
      </w:r>
    </w:p>
    <w:p w14:paraId="69BF485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7.4.1发包人通过监理人向承包人提供测量基准点、基准线和水准点及其书面资料的期限：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2C8476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461" w:name="_Toc312677484"/>
      <w:bookmarkStart w:id="462" w:name="_Toc303539125"/>
      <w:bookmarkStart w:id="463" w:name="_Toc300934968"/>
      <w:bookmarkStart w:id="464" w:name="_Toc297216175"/>
      <w:bookmarkStart w:id="465" w:name="_Toc312678010"/>
      <w:bookmarkStart w:id="466" w:name="_Toc297123516"/>
      <w:bookmarkStart w:id="467" w:name="_Toc304295546"/>
      <w:r>
        <w:rPr>
          <w:rFonts w:hint="eastAsia" w:ascii="宋体" w:hAnsi="宋体" w:eastAsia="宋体" w:cs="宋体"/>
          <w:color w:val="auto"/>
          <w:sz w:val="24"/>
          <w:szCs w:val="24"/>
          <w:highlight w:val="none"/>
        </w:rPr>
        <w:t>.5 工期延误</w:t>
      </w:r>
    </w:p>
    <w:bookmarkEnd w:id="461"/>
    <w:bookmarkEnd w:id="462"/>
    <w:bookmarkEnd w:id="463"/>
    <w:bookmarkEnd w:id="464"/>
    <w:bookmarkEnd w:id="465"/>
    <w:bookmarkEnd w:id="466"/>
    <w:bookmarkEnd w:id="467"/>
    <w:p w14:paraId="4934F4B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7.5.1 因发包人原因导致工期延误</w:t>
      </w:r>
    </w:p>
    <w:p w14:paraId="7DD4BD7B">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（7）因发包人原因导致工期延误的其他情形：</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F40BD0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468" w:name="_Toc318581169"/>
      <w:bookmarkStart w:id="469" w:name="_Toc312678012"/>
      <w:bookmarkStart w:id="470" w:name="_Toc312677486"/>
      <w:bookmarkStart w:id="471" w:name="_Toc304295548"/>
      <w:bookmarkStart w:id="472" w:name="_Toc297123518"/>
      <w:bookmarkStart w:id="473" w:name="_Toc303539127"/>
      <w:bookmarkStart w:id="474" w:name="_Toc297216177"/>
      <w:bookmarkStart w:id="475" w:name="_Toc300934970"/>
      <w:r>
        <w:rPr>
          <w:rFonts w:hint="eastAsia" w:ascii="宋体" w:hAnsi="宋体" w:eastAsia="宋体" w:cs="宋体"/>
          <w:color w:val="auto"/>
          <w:sz w:val="24"/>
          <w:szCs w:val="24"/>
          <w:highlight w:val="none"/>
        </w:rPr>
        <w:t>.5.2 因承包人原因导致工期延误</w:t>
      </w:r>
    </w:p>
    <w:bookmarkEnd w:id="468"/>
    <w:bookmarkEnd w:id="469"/>
    <w:bookmarkEnd w:id="470"/>
    <w:p w14:paraId="4C3A079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w:t>
      </w:r>
      <w:bookmarkStart w:id="476" w:name="_Toc312677487"/>
      <w:bookmarkStart w:id="477" w:name="_Toc312678013"/>
      <w:bookmarkStart w:id="478" w:name="_Toc318581170"/>
      <w:r>
        <w:rPr>
          <w:rFonts w:hint="eastAsia" w:ascii="宋体" w:hAnsi="宋体" w:eastAsia="宋体" w:cs="宋体"/>
          <w:color w:val="auto"/>
          <w:sz w:val="24"/>
          <w:szCs w:val="24"/>
          <w:highlight w:val="none"/>
        </w:rPr>
        <w:t>承包人原因造成工期延误，逾期竣工违约金的计算方法为：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471"/>
      <w:bookmarkEnd w:id="472"/>
      <w:bookmarkEnd w:id="473"/>
      <w:bookmarkEnd w:id="474"/>
      <w:bookmarkEnd w:id="475"/>
      <w:bookmarkEnd w:id="476"/>
      <w:bookmarkEnd w:id="477"/>
    </w:p>
    <w:bookmarkEnd w:id="478"/>
    <w:p w14:paraId="4B9C5CE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因承包人原因造成工期延误，逾</w:t>
      </w:r>
      <w:bookmarkStart w:id="479" w:name="_Toc318581171"/>
      <w:bookmarkStart w:id="480" w:name="_Toc312678014"/>
      <w:r>
        <w:rPr>
          <w:rFonts w:hint="eastAsia" w:ascii="宋体" w:hAnsi="宋体" w:eastAsia="宋体" w:cs="宋体"/>
          <w:color w:val="auto"/>
          <w:sz w:val="24"/>
          <w:szCs w:val="24"/>
          <w:highlight w:val="none"/>
        </w:rPr>
        <w:t>期竣工违约金的上限：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479"/>
      <w:bookmarkEnd w:id="480"/>
    </w:p>
    <w:p w14:paraId="7744948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481" w:name="_Toc300934971"/>
      <w:bookmarkStart w:id="482" w:name="_Toc312678015"/>
      <w:bookmarkStart w:id="483" w:name="_Toc303539128"/>
      <w:bookmarkStart w:id="484" w:name="_Toc297123519"/>
      <w:bookmarkStart w:id="485" w:name="_Toc297216178"/>
      <w:bookmarkStart w:id="486" w:name="_Toc304295549"/>
      <w:r>
        <w:rPr>
          <w:rFonts w:hint="eastAsia" w:ascii="宋体" w:hAnsi="宋体" w:eastAsia="宋体" w:cs="宋体"/>
          <w:color w:val="auto"/>
          <w:sz w:val="24"/>
          <w:szCs w:val="24"/>
          <w:highlight w:val="none"/>
        </w:rPr>
        <w:t>.6 不</w:t>
      </w:r>
      <w:bookmarkEnd w:id="481"/>
      <w:bookmarkEnd w:id="482"/>
      <w:bookmarkEnd w:id="483"/>
      <w:bookmarkEnd w:id="484"/>
      <w:bookmarkEnd w:id="485"/>
      <w:bookmarkEnd w:id="486"/>
      <w:r>
        <w:rPr>
          <w:rFonts w:hint="eastAsia" w:ascii="宋体" w:hAnsi="宋体" w:eastAsia="宋体" w:cs="宋体"/>
          <w:color w:val="auto"/>
          <w:sz w:val="24"/>
          <w:szCs w:val="24"/>
          <w:highlight w:val="none"/>
        </w:rPr>
        <w:t>利物质条件</w:t>
      </w:r>
    </w:p>
    <w:p w14:paraId="1FADB26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487" w:name="_Toc318581172"/>
      <w:bookmarkStart w:id="488" w:name="_Toc312678016"/>
      <w:bookmarkStart w:id="489" w:name="_Toc297216179"/>
      <w:bookmarkStart w:id="490" w:name="_Toc303539129"/>
      <w:bookmarkStart w:id="491" w:name="_Toc300934972"/>
      <w:bookmarkStart w:id="492" w:name="_Toc304295550"/>
      <w:bookmarkStart w:id="493" w:name="_Toc297123520"/>
      <w:r>
        <w:rPr>
          <w:rFonts w:hint="eastAsia" w:ascii="宋体" w:hAnsi="宋体" w:eastAsia="宋体" w:cs="宋体"/>
          <w:color w:val="auto"/>
          <w:sz w:val="24"/>
          <w:szCs w:val="24"/>
          <w:highlight w:val="none"/>
        </w:rPr>
        <w:t>不利物质条件的其他情形和有关约定：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487"/>
      <w:bookmarkEnd w:id="488"/>
      <w:bookmarkEnd w:id="489"/>
      <w:bookmarkEnd w:id="490"/>
      <w:bookmarkEnd w:id="491"/>
      <w:bookmarkEnd w:id="492"/>
      <w:bookmarkEnd w:id="493"/>
    </w:p>
    <w:p w14:paraId="0E8AF2B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494" w:name="_Toc312678017"/>
      <w:bookmarkStart w:id="495" w:name="_Toc300934973"/>
      <w:bookmarkStart w:id="496" w:name="_Toc297216180"/>
      <w:bookmarkStart w:id="497" w:name="_Toc297123521"/>
      <w:bookmarkStart w:id="498" w:name="_Toc303539130"/>
      <w:bookmarkStart w:id="499" w:name="_Toc304295551"/>
      <w:r>
        <w:rPr>
          <w:rFonts w:hint="eastAsia" w:ascii="宋体" w:hAnsi="宋体" w:eastAsia="宋体" w:cs="宋体"/>
          <w:color w:val="auto"/>
          <w:sz w:val="24"/>
          <w:szCs w:val="24"/>
          <w:highlight w:val="none"/>
        </w:rPr>
        <w:t>.7异常恶劣的气候条件</w:t>
      </w:r>
      <w:bookmarkEnd w:id="494"/>
      <w:bookmarkEnd w:id="495"/>
      <w:bookmarkEnd w:id="496"/>
      <w:bookmarkEnd w:id="497"/>
      <w:bookmarkEnd w:id="498"/>
      <w:bookmarkEnd w:id="499"/>
    </w:p>
    <w:p w14:paraId="6B7A382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发包人和承包人同意以下情形视为异常恶劣的气候条件：</w:t>
      </w:r>
    </w:p>
    <w:p w14:paraId="1966803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CC69D8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BA48A1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Start w:id="500" w:name="_Toc20311"/>
      <w:bookmarkStart w:id="501" w:name="_Toc29730"/>
      <w:bookmarkStart w:id="502" w:name="_Toc8747"/>
      <w:bookmarkStart w:id="503" w:name="_Toc25466"/>
      <w:bookmarkStart w:id="504" w:name="_Toc26221"/>
      <w:bookmarkStart w:id="505" w:name="_Toc23577"/>
      <w:bookmarkStart w:id="506" w:name="_Toc2827"/>
      <w:bookmarkStart w:id="507" w:name="_Toc15423"/>
      <w:bookmarkStart w:id="508" w:name="_Toc8180"/>
      <w:bookmarkStart w:id="509" w:name="_Toc13441"/>
      <w:bookmarkStart w:id="510" w:name="_Toc26673"/>
      <w:bookmarkStart w:id="511" w:name="_Toc27165"/>
      <w:bookmarkStart w:id="512" w:name="_Toc28132"/>
    </w:p>
    <w:p w14:paraId="2F66D56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7.9 提前竣工的奖励</w:t>
      </w:r>
      <w:bookmarkEnd w:id="500"/>
      <w:bookmarkEnd w:id="501"/>
      <w:bookmarkEnd w:id="502"/>
      <w:bookmarkEnd w:id="503"/>
      <w:bookmarkEnd w:id="504"/>
      <w:bookmarkEnd w:id="505"/>
      <w:bookmarkEnd w:id="506"/>
      <w:bookmarkEnd w:id="507"/>
      <w:bookmarkEnd w:id="508"/>
      <w:bookmarkEnd w:id="509"/>
      <w:bookmarkEnd w:id="510"/>
      <w:bookmarkEnd w:id="511"/>
      <w:bookmarkEnd w:id="512"/>
    </w:p>
    <w:p w14:paraId="1C057DC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7.9.2提前竣工的奖励：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DC1E37B">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513" w:name="_Toc13865"/>
      <w:r>
        <w:rPr>
          <w:rFonts w:hint="eastAsia" w:ascii="宋体" w:hAnsi="宋体" w:eastAsia="宋体" w:cs="宋体"/>
          <w:b/>
          <w:bCs w:val="0"/>
          <w:color w:val="auto"/>
          <w:sz w:val="24"/>
          <w:szCs w:val="24"/>
          <w:highlight w:val="none"/>
        </w:rPr>
        <w:t>8. 材料与设备</w:t>
      </w:r>
      <w:bookmarkEnd w:id="513"/>
    </w:p>
    <w:bookmarkEnd w:id="368"/>
    <w:bookmarkEnd w:id="369"/>
    <w:bookmarkEnd w:id="370"/>
    <w:bookmarkEnd w:id="371"/>
    <w:bookmarkEnd w:id="372"/>
    <w:bookmarkEnd w:id="373"/>
    <w:bookmarkEnd w:id="374"/>
    <w:bookmarkEnd w:id="375"/>
    <w:bookmarkEnd w:id="376"/>
    <w:bookmarkEnd w:id="377"/>
    <w:p w14:paraId="0ED51D3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bookmarkStart w:id="514" w:name="_Toc296346668"/>
      <w:bookmarkStart w:id="515" w:name="_Toc312677493"/>
      <w:bookmarkStart w:id="516" w:name="_Toc296503167"/>
      <w:bookmarkStart w:id="517" w:name="_Toc312678019"/>
      <w:bookmarkStart w:id="518" w:name="_Toc303539136"/>
      <w:bookmarkStart w:id="519" w:name="_Toc292559372"/>
      <w:bookmarkStart w:id="520" w:name="_Toc296891207"/>
      <w:bookmarkStart w:id="521" w:name="_Toc296347166"/>
      <w:bookmarkStart w:id="522" w:name="_Toc297123527"/>
      <w:bookmarkStart w:id="523" w:name="_Toc297048353"/>
      <w:bookmarkStart w:id="524" w:name="_Toc280868654"/>
      <w:bookmarkStart w:id="525" w:name="_Toc297120467"/>
      <w:bookmarkStart w:id="526" w:name="_Toc300934979"/>
      <w:bookmarkStart w:id="527" w:name="_Toc296890995"/>
      <w:bookmarkStart w:id="528" w:name="_Toc292559877"/>
      <w:bookmarkStart w:id="529" w:name="_Toc304295556"/>
      <w:bookmarkStart w:id="530" w:name="_Toc296944506"/>
      <w:bookmarkStart w:id="531" w:name="_Toc297216186"/>
      <w:bookmarkStart w:id="532" w:name="_Toc267251424"/>
      <w:bookmarkStart w:id="533" w:name="_Toc280868655"/>
      <w:bookmarkStart w:id="534" w:name="_Toc280868656"/>
      <w:r>
        <w:rPr>
          <w:rFonts w:hint="eastAsia" w:ascii="宋体" w:hAnsi="宋体" w:eastAsia="宋体" w:cs="宋体"/>
          <w:color w:val="auto"/>
          <w:sz w:val="24"/>
          <w:szCs w:val="24"/>
          <w:highlight w:val="none"/>
        </w:rPr>
        <w:t>.4材料与工程设备的保管与使用</w:t>
      </w:r>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p>
    <w:p w14:paraId="396F4EE5">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bookmarkStart w:id="535" w:name="_Toc292559878"/>
      <w:bookmarkStart w:id="536" w:name="_Toc292559373"/>
      <w:bookmarkStart w:id="537" w:name="_Toc318581173"/>
      <w:bookmarkStart w:id="538" w:name="_Toc303539137"/>
      <w:bookmarkStart w:id="539" w:name="_Toc296346669"/>
      <w:bookmarkStart w:id="540" w:name="_Toc296890996"/>
      <w:bookmarkStart w:id="541" w:name="_Toc300934980"/>
      <w:bookmarkStart w:id="542" w:name="_Toc296347167"/>
      <w:bookmarkStart w:id="543" w:name="_Toc297216187"/>
      <w:bookmarkStart w:id="544" w:name="_Toc312678020"/>
      <w:bookmarkStart w:id="545" w:name="_Toc296944507"/>
      <w:bookmarkStart w:id="546" w:name="_Toc312677494"/>
      <w:bookmarkStart w:id="547" w:name="_Toc296503168"/>
      <w:bookmarkStart w:id="548" w:name="_Toc296891208"/>
      <w:bookmarkStart w:id="549" w:name="_Toc297120468"/>
      <w:bookmarkStart w:id="550" w:name="_Toc304295557"/>
      <w:bookmarkStart w:id="551" w:name="_Toc297123528"/>
      <w:bookmarkStart w:id="552" w:name="_Toc297048354"/>
      <w:r>
        <w:rPr>
          <w:rFonts w:hint="eastAsia" w:ascii="宋体" w:hAnsi="宋体" w:eastAsia="宋体" w:cs="宋体"/>
          <w:color w:val="auto"/>
          <w:sz w:val="24"/>
          <w:szCs w:val="24"/>
          <w:highlight w:val="none"/>
        </w:rPr>
        <w:t>.4.1发包人供应的材料设备的保管费用的承担：</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535"/>
      <w:bookmarkEnd w:id="536"/>
      <w:bookmarkStart w:id="553" w:name="_Toc29661"/>
      <w:bookmarkStart w:id="554" w:name="_Toc3216"/>
      <w:bookmarkStart w:id="555" w:name="_Toc3037"/>
      <w:bookmarkStart w:id="556" w:name="_Toc64"/>
      <w:bookmarkStart w:id="557" w:name="_Toc2931"/>
      <w:bookmarkStart w:id="558" w:name="_Toc29013"/>
      <w:bookmarkStart w:id="559" w:name="_Toc10548"/>
      <w:bookmarkStart w:id="560" w:name="_Toc24836"/>
      <w:bookmarkStart w:id="561" w:name="_Toc27736"/>
      <w:bookmarkStart w:id="562" w:name="_Toc24768"/>
      <w:bookmarkStart w:id="563" w:name="_Toc20245"/>
      <w:bookmarkStart w:id="564" w:name="_Toc17967"/>
      <w:bookmarkStart w:id="565" w:name="_Toc27664"/>
    </w:p>
    <w:p w14:paraId="50D2BE5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8.6 样品</w:t>
      </w:r>
      <w:bookmarkEnd w:id="553"/>
      <w:bookmarkEnd w:id="554"/>
      <w:bookmarkEnd w:id="555"/>
      <w:bookmarkEnd w:id="556"/>
      <w:bookmarkEnd w:id="557"/>
      <w:bookmarkEnd w:id="558"/>
      <w:bookmarkEnd w:id="559"/>
      <w:bookmarkEnd w:id="560"/>
      <w:bookmarkEnd w:id="561"/>
      <w:bookmarkEnd w:id="562"/>
      <w:bookmarkEnd w:id="563"/>
      <w:bookmarkEnd w:id="564"/>
      <w:bookmarkEnd w:id="565"/>
    </w:p>
    <w:p w14:paraId="5BE2A2D7">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8.6.1</w:t>
      </w:r>
      <w:r>
        <w:rPr>
          <w:rFonts w:hint="eastAsia" w:ascii="宋体" w:hAnsi="宋体" w:eastAsia="宋体" w:cs="宋体"/>
          <w:color w:val="auto"/>
          <w:kern w:val="0"/>
          <w:sz w:val="24"/>
          <w:szCs w:val="24"/>
          <w:highlight w:val="none"/>
          <w:lang w:eastAsia="zh-CN"/>
        </w:rPr>
        <w:t xml:space="preserve">   </w:t>
      </w:r>
      <w:r>
        <w:rPr>
          <w:rFonts w:hint="eastAsia" w:ascii="宋体" w:hAnsi="宋体" w:eastAsia="宋体" w:cs="宋体"/>
          <w:color w:val="auto"/>
          <w:kern w:val="0"/>
          <w:sz w:val="24"/>
          <w:szCs w:val="24"/>
          <w:highlight w:val="none"/>
        </w:rPr>
        <w:t>样品的报送与封存</w:t>
      </w:r>
    </w:p>
    <w:p w14:paraId="0208F2DD">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需要承包人报送样品的材料或工程设备，样品的种类、名称、规格、数量要求：</w:t>
      </w:r>
    </w:p>
    <w:p w14:paraId="4A760274">
      <w:pPr>
        <w:pageBreakBefore w:val="0"/>
        <w:widowControl w:val="0"/>
        <w:kinsoku/>
        <w:wordWrap/>
        <w:overflowPunct/>
        <w:topLinePunct w:val="0"/>
        <w:autoSpaceDE w:val="0"/>
        <w:autoSpaceDN w:val="0"/>
        <w:bidi w:val="0"/>
        <w:adjustRightInd w:val="0"/>
        <w:snapToGrid/>
        <w:spacing w:line="380" w:lineRule="exact"/>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776E817">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bookmarkStart w:id="566" w:name="_Toc5863"/>
      <w:bookmarkStart w:id="567" w:name="_Toc2445"/>
      <w:bookmarkStart w:id="568" w:name="_Toc22313"/>
      <w:bookmarkStart w:id="569" w:name="_Toc15173"/>
      <w:bookmarkStart w:id="570" w:name="_Toc30373"/>
      <w:bookmarkStart w:id="571" w:name="_Toc32274"/>
      <w:bookmarkStart w:id="572" w:name="_Toc12594"/>
      <w:bookmarkStart w:id="573" w:name="_Toc19674"/>
      <w:bookmarkStart w:id="574" w:name="_Toc1472"/>
      <w:bookmarkStart w:id="575" w:name="_Toc27658"/>
      <w:bookmarkStart w:id="576" w:name="_Toc9578"/>
      <w:bookmarkStart w:id="577" w:name="_Toc3163"/>
      <w:bookmarkStart w:id="578" w:name="_Toc17175"/>
      <w:bookmarkStart w:id="579" w:name="_Toc13854"/>
      <w:r>
        <w:rPr>
          <w:rFonts w:hint="eastAsia" w:ascii="宋体" w:hAnsi="宋体" w:eastAsia="宋体" w:cs="宋体"/>
          <w:color w:val="auto"/>
          <w:sz w:val="24"/>
          <w:szCs w:val="24"/>
          <w:highlight w:val="none"/>
        </w:rPr>
        <w:t>8.8 施工设</w:t>
      </w:r>
      <w:r>
        <w:rPr>
          <w:rFonts w:hint="eastAsia" w:ascii="宋体" w:hAnsi="宋体" w:eastAsia="宋体" w:cs="宋体"/>
          <w:color w:val="auto"/>
          <w:kern w:val="0"/>
          <w:sz w:val="24"/>
          <w:szCs w:val="24"/>
          <w:highlight w:val="none"/>
        </w:rPr>
        <w:t>备和临时设施</w:t>
      </w:r>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p>
    <w:p w14:paraId="2FAE2BA4">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8.8.1 承包人提</w:t>
      </w:r>
      <w:r>
        <w:rPr>
          <w:rFonts w:hint="eastAsia" w:ascii="宋体" w:hAnsi="宋体" w:eastAsia="宋体" w:cs="宋体"/>
          <w:color w:val="auto"/>
          <w:sz w:val="24"/>
          <w:szCs w:val="24"/>
          <w:highlight w:val="none"/>
        </w:rPr>
        <w:t>供的施工设备和临时设施</w:t>
      </w:r>
    </w:p>
    <w:p w14:paraId="58BD0A5A">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关于修建临时设施费用承担的约定：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p w14:paraId="047208FF">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580" w:name="_Toc18558"/>
      <w:r>
        <w:rPr>
          <w:rFonts w:hint="eastAsia" w:ascii="宋体" w:hAnsi="宋体" w:eastAsia="宋体" w:cs="宋体"/>
          <w:b/>
          <w:bCs w:val="0"/>
          <w:color w:val="auto"/>
          <w:sz w:val="24"/>
          <w:szCs w:val="24"/>
          <w:highlight w:val="none"/>
        </w:rPr>
        <w:t>9</w:t>
      </w:r>
      <w:bookmarkEnd w:id="532"/>
      <w:bookmarkEnd w:id="533"/>
      <w:bookmarkEnd w:id="534"/>
      <w:bookmarkStart w:id="581" w:name="_Toc303539139"/>
      <w:bookmarkStart w:id="582" w:name="_Toc312678021"/>
      <w:bookmarkStart w:id="583" w:name="_Toc297216192"/>
      <w:bookmarkStart w:id="584" w:name="_Toc304295559"/>
      <w:bookmarkStart w:id="585" w:name="_Toc300934982"/>
      <w:bookmarkStart w:id="586" w:name="_Toc297123533"/>
      <w:bookmarkStart w:id="587" w:name="_Toc312677495"/>
      <w:bookmarkStart w:id="588" w:name="_Toc297120473"/>
      <w:bookmarkStart w:id="589" w:name="_Toc297048359"/>
      <w:bookmarkStart w:id="590" w:name="_Toc296944512"/>
      <w:bookmarkStart w:id="591" w:name="_Toc296891213"/>
      <w:bookmarkStart w:id="592" w:name="_Toc296503173"/>
      <w:bookmarkStart w:id="593" w:name="_Toc296891001"/>
      <w:bookmarkStart w:id="594" w:name="_Toc292559883"/>
      <w:bookmarkStart w:id="595" w:name="_Toc267251427"/>
      <w:bookmarkStart w:id="596" w:name="_Toc292559378"/>
      <w:bookmarkStart w:id="597" w:name="_Toc267251428"/>
      <w:bookmarkStart w:id="598" w:name="_Toc296346674"/>
      <w:bookmarkStart w:id="599" w:name="_Toc296347172"/>
      <w:r>
        <w:rPr>
          <w:rFonts w:hint="eastAsia" w:ascii="宋体" w:hAnsi="宋体" w:eastAsia="宋体" w:cs="宋体"/>
          <w:b/>
          <w:bCs w:val="0"/>
          <w:color w:val="auto"/>
          <w:sz w:val="24"/>
          <w:szCs w:val="24"/>
          <w:highlight w:val="none"/>
        </w:rPr>
        <w:t>. 试验与检验</w:t>
      </w:r>
      <w:bookmarkEnd w:id="580"/>
    </w:p>
    <w:bookmarkEnd w:id="581"/>
    <w:bookmarkEnd w:id="582"/>
    <w:bookmarkEnd w:id="583"/>
    <w:bookmarkEnd w:id="584"/>
    <w:bookmarkEnd w:id="585"/>
    <w:bookmarkEnd w:id="586"/>
    <w:bookmarkEnd w:id="587"/>
    <w:p w14:paraId="403D715F">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9</w:t>
      </w:r>
      <w:bookmarkStart w:id="600" w:name="_Toc297123534"/>
      <w:bookmarkStart w:id="601" w:name="_Toc312678022"/>
      <w:bookmarkStart w:id="602" w:name="_Toc303539140"/>
      <w:bookmarkStart w:id="603" w:name="_Toc304295560"/>
      <w:bookmarkStart w:id="604" w:name="_Toc297216193"/>
      <w:bookmarkStart w:id="605" w:name="_Toc312677496"/>
      <w:bookmarkStart w:id="606" w:name="_Toc300934983"/>
      <w:r>
        <w:rPr>
          <w:rFonts w:hint="eastAsia" w:ascii="宋体" w:hAnsi="宋体" w:eastAsia="宋体" w:cs="宋体"/>
          <w:color w:val="auto"/>
          <w:sz w:val="24"/>
          <w:szCs w:val="24"/>
          <w:highlight w:val="none"/>
        </w:rPr>
        <w:t>.1试验设备与</w:t>
      </w:r>
      <w:r>
        <w:rPr>
          <w:rFonts w:hint="eastAsia" w:ascii="宋体" w:hAnsi="宋体" w:eastAsia="宋体" w:cs="宋体"/>
          <w:color w:val="auto"/>
          <w:kern w:val="0"/>
          <w:sz w:val="24"/>
          <w:szCs w:val="24"/>
          <w:highlight w:val="none"/>
        </w:rPr>
        <w:t>试验人员</w:t>
      </w:r>
    </w:p>
    <w:bookmarkEnd w:id="600"/>
    <w:bookmarkEnd w:id="601"/>
    <w:bookmarkEnd w:id="602"/>
    <w:bookmarkEnd w:id="603"/>
    <w:bookmarkEnd w:id="604"/>
    <w:bookmarkEnd w:id="605"/>
    <w:bookmarkEnd w:id="606"/>
    <w:p w14:paraId="6F980090">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9</w:t>
      </w:r>
      <w:bookmarkStart w:id="607" w:name="_Toc304295561"/>
      <w:bookmarkStart w:id="608" w:name="_Toc300934984"/>
      <w:bookmarkStart w:id="609" w:name="_Toc297216194"/>
      <w:bookmarkStart w:id="610" w:name="_Toc297123535"/>
      <w:bookmarkStart w:id="611" w:name="_Toc303539141"/>
      <w:bookmarkStart w:id="612" w:name="_Toc312678023"/>
      <w:bookmarkStart w:id="613" w:name="_Toc312677497"/>
      <w:bookmarkStart w:id="614" w:name="_Toc318581174"/>
      <w:r>
        <w:rPr>
          <w:rFonts w:hint="eastAsia" w:ascii="宋体" w:hAnsi="宋体" w:eastAsia="宋体" w:cs="宋体"/>
          <w:color w:val="auto"/>
          <w:kern w:val="0"/>
          <w:sz w:val="24"/>
          <w:szCs w:val="24"/>
          <w:highlight w:val="none"/>
        </w:rPr>
        <w:t>.1.2 试验设</w:t>
      </w:r>
      <w:r>
        <w:rPr>
          <w:rFonts w:hint="eastAsia" w:ascii="宋体" w:hAnsi="宋体" w:eastAsia="宋体" w:cs="宋体"/>
          <w:color w:val="auto"/>
          <w:sz w:val="24"/>
          <w:szCs w:val="24"/>
          <w:highlight w:val="none"/>
        </w:rPr>
        <w:t>备</w:t>
      </w:r>
    </w:p>
    <w:p w14:paraId="3836DC8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施工现场需要配置的试验场所：</w:t>
      </w:r>
      <w:bookmarkEnd w:id="607"/>
      <w:bookmarkEnd w:id="608"/>
      <w:bookmarkEnd w:id="609"/>
      <w:bookmarkEnd w:id="610"/>
      <w:bookmarkEnd w:id="611"/>
      <w:bookmarkEnd w:id="612"/>
      <w:bookmarkEnd w:id="613"/>
      <w:bookmarkStart w:id="615" w:name="_Toc304295562"/>
      <w:bookmarkStart w:id="616" w:name="_Toc300934985"/>
      <w:bookmarkStart w:id="617" w:name="_Toc303539142"/>
      <w:bookmarkStart w:id="618" w:name="_Toc297216195"/>
      <w:bookmarkStart w:id="619" w:name="_Toc297123536"/>
      <w:bookmarkStart w:id="620" w:name="_Toc312677498"/>
      <w:bookmarkStart w:id="621" w:name="_Toc312678024"/>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1A010AC5">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施工现场需要配备的试验设备：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821E97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施工现场需要具备的其他试验条件：</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CA19A43">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bookmarkStart w:id="622" w:name="_Toc27999"/>
      <w:bookmarkStart w:id="623" w:name="_Toc15287"/>
      <w:bookmarkStart w:id="624" w:name="_Toc6222"/>
      <w:bookmarkStart w:id="625" w:name="_Toc11641"/>
      <w:bookmarkStart w:id="626" w:name="_Toc21489"/>
      <w:bookmarkStart w:id="627" w:name="_Toc7338"/>
      <w:bookmarkStart w:id="628" w:name="_Toc27666"/>
      <w:bookmarkStart w:id="629" w:name="_Toc13278"/>
      <w:bookmarkStart w:id="630" w:name="_Toc30499"/>
      <w:bookmarkStart w:id="631" w:name="_Toc18276"/>
      <w:bookmarkStart w:id="632" w:name="_Toc20744"/>
      <w:bookmarkStart w:id="633" w:name="_Toc3709"/>
      <w:bookmarkStart w:id="634" w:name="_Toc28295"/>
      <w:bookmarkStart w:id="635" w:name="_Toc12618"/>
      <w:r>
        <w:rPr>
          <w:rFonts w:hint="eastAsia" w:ascii="宋体" w:hAnsi="宋体" w:eastAsia="宋体" w:cs="宋体"/>
          <w:color w:val="auto"/>
          <w:sz w:val="24"/>
          <w:szCs w:val="24"/>
          <w:highlight w:val="none"/>
        </w:rPr>
        <w:t>9.4 现场</w:t>
      </w:r>
      <w:r>
        <w:rPr>
          <w:rFonts w:hint="eastAsia" w:ascii="宋体" w:hAnsi="宋体" w:eastAsia="宋体" w:cs="宋体"/>
          <w:color w:val="auto"/>
          <w:kern w:val="0"/>
          <w:sz w:val="24"/>
          <w:szCs w:val="24"/>
          <w:highlight w:val="none"/>
        </w:rPr>
        <w:t>工艺试验</w:t>
      </w:r>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r>
        <w:rPr>
          <w:rFonts w:hint="eastAsia" w:ascii="宋体" w:hAnsi="宋体" w:eastAsia="宋体" w:cs="宋体"/>
          <w:color w:val="auto"/>
          <w:kern w:val="0"/>
          <w:sz w:val="24"/>
          <w:szCs w:val="24"/>
          <w:highlight w:val="none"/>
        </w:rPr>
        <w:t xml:space="preserve"> </w:t>
      </w:r>
    </w:p>
    <w:p w14:paraId="70D6240C">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现场工艺试</w:t>
      </w:r>
      <w:r>
        <w:rPr>
          <w:rFonts w:hint="eastAsia" w:ascii="宋体" w:hAnsi="宋体" w:eastAsia="宋体" w:cs="宋体"/>
          <w:color w:val="auto"/>
          <w:sz w:val="24"/>
          <w:szCs w:val="24"/>
          <w:highlight w:val="none"/>
        </w:rPr>
        <w:t>验的有关约定：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614"/>
    <w:bookmarkEnd w:id="615"/>
    <w:bookmarkEnd w:id="616"/>
    <w:bookmarkEnd w:id="617"/>
    <w:bookmarkEnd w:id="618"/>
    <w:bookmarkEnd w:id="619"/>
    <w:bookmarkEnd w:id="620"/>
    <w:bookmarkEnd w:id="621"/>
    <w:p w14:paraId="5F027298">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636" w:name="_Toc16374"/>
      <w:r>
        <w:rPr>
          <w:rFonts w:hint="eastAsia" w:ascii="宋体" w:hAnsi="宋体" w:eastAsia="宋体" w:cs="宋体"/>
          <w:b/>
          <w:bCs w:val="0"/>
          <w:color w:val="auto"/>
          <w:sz w:val="24"/>
          <w:szCs w:val="24"/>
          <w:highlight w:val="none"/>
        </w:rPr>
        <w:t>1</w:t>
      </w:r>
      <w:bookmarkEnd w:id="588"/>
      <w:bookmarkEnd w:id="589"/>
      <w:bookmarkEnd w:id="590"/>
      <w:bookmarkEnd w:id="591"/>
      <w:bookmarkEnd w:id="592"/>
      <w:bookmarkEnd w:id="593"/>
      <w:bookmarkEnd w:id="594"/>
      <w:bookmarkEnd w:id="595"/>
      <w:bookmarkEnd w:id="596"/>
      <w:bookmarkEnd w:id="597"/>
      <w:bookmarkEnd w:id="598"/>
      <w:bookmarkEnd w:id="599"/>
      <w:bookmarkStart w:id="637" w:name="_Toc297048379"/>
      <w:bookmarkStart w:id="638" w:name="_Toc296891233"/>
      <w:bookmarkStart w:id="639" w:name="_Toc292559903"/>
      <w:bookmarkStart w:id="640" w:name="_Toc304295566"/>
      <w:bookmarkStart w:id="641" w:name="_Toc296347192"/>
      <w:bookmarkStart w:id="642" w:name="_Toc296944532"/>
      <w:bookmarkStart w:id="643" w:name="_Toc296346694"/>
      <w:bookmarkStart w:id="644" w:name="_Toc292559398"/>
      <w:bookmarkStart w:id="645" w:name="_Toc296891021"/>
      <w:bookmarkStart w:id="646" w:name="_Toc303539146"/>
      <w:bookmarkStart w:id="647" w:name="_Toc300934989"/>
      <w:bookmarkStart w:id="648" w:name="_Toc296503193"/>
      <w:bookmarkStart w:id="649" w:name="_Toc297123540"/>
      <w:bookmarkStart w:id="650" w:name="_Toc297120493"/>
      <w:bookmarkStart w:id="651" w:name="_Toc297216199"/>
      <w:bookmarkStart w:id="652" w:name="_Toc312678025"/>
      <w:bookmarkStart w:id="653" w:name="_Toc312677499"/>
      <w:bookmarkStart w:id="654" w:name="_Toc267251441"/>
      <w:bookmarkStart w:id="655" w:name="_Toc267251433"/>
      <w:bookmarkStart w:id="656" w:name="_Toc267251440"/>
      <w:bookmarkStart w:id="657" w:name="_Toc267251435"/>
      <w:bookmarkStart w:id="658" w:name="_Toc267251439"/>
      <w:bookmarkStart w:id="659" w:name="_Toc267251437"/>
      <w:bookmarkStart w:id="660" w:name="_Toc267251442"/>
      <w:r>
        <w:rPr>
          <w:rFonts w:hint="eastAsia" w:ascii="宋体" w:hAnsi="宋体" w:eastAsia="宋体" w:cs="宋体"/>
          <w:b/>
          <w:bCs w:val="0"/>
          <w:color w:val="auto"/>
          <w:sz w:val="24"/>
          <w:szCs w:val="24"/>
          <w:highlight w:val="none"/>
        </w:rPr>
        <w:t>0. 变更</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p>
    <w:bookmarkEnd w:id="652"/>
    <w:bookmarkEnd w:id="653"/>
    <w:p w14:paraId="7C6738F5">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w:t>
      </w:r>
      <w:bookmarkStart w:id="661" w:name="_Toc304295567"/>
      <w:bookmarkStart w:id="662" w:name="_Toc297123541"/>
      <w:bookmarkStart w:id="663" w:name="_Toc297216200"/>
      <w:bookmarkStart w:id="664" w:name="_Toc296347193"/>
      <w:bookmarkStart w:id="665" w:name="_Toc296891022"/>
      <w:bookmarkStart w:id="666" w:name="_Toc303539147"/>
      <w:bookmarkStart w:id="667" w:name="_Toc296944533"/>
      <w:bookmarkStart w:id="668" w:name="_Toc312678026"/>
      <w:bookmarkStart w:id="669" w:name="_Toc292559904"/>
      <w:bookmarkStart w:id="670" w:name="_Toc312677500"/>
      <w:bookmarkStart w:id="671" w:name="_Toc292559399"/>
      <w:bookmarkStart w:id="672" w:name="_Toc297048380"/>
      <w:bookmarkStart w:id="673" w:name="_Toc296503194"/>
      <w:bookmarkStart w:id="674" w:name="_Toc297120494"/>
      <w:bookmarkStart w:id="675" w:name="_Toc296891234"/>
      <w:bookmarkStart w:id="676" w:name="_Toc300934990"/>
      <w:bookmarkStart w:id="677" w:name="_Toc296346695"/>
      <w:r>
        <w:rPr>
          <w:rFonts w:hint="eastAsia" w:ascii="宋体" w:hAnsi="宋体" w:eastAsia="宋体" w:cs="宋体"/>
          <w:color w:val="auto"/>
          <w:sz w:val="24"/>
          <w:szCs w:val="24"/>
          <w:highlight w:val="none"/>
        </w:rPr>
        <w:t>0.1变</w:t>
      </w:r>
      <w:r>
        <w:rPr>
          <w:rFonts w:hint="eastAsia" w:ascii="宋体" w:hAnsi="宋体" w:eastAsia="宋体" w:cs="宋体"/>
          <w:color w:val="auto"/>
          <w:kern w:val="0"/>
          <w:sz w:val="24"/>
          <w:szCs w:val="24"/>
          <w:highlight w:val="none"/>
        </w:rPr>
        <w:t>更的范围</w:t>
      </w:r>
    </w:p>
    <w:p w14:paraId="7E2D7CC1">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关于变</w:t>
      </w:r>
      <w:r>
        <w:rPr>
          <w:rFonts w:hint="eastAsia" w:ascii="宋体" w:hAnsi="宋体" w:eastAsia="宋体" w:cs="宋体"/>
          <w:color w:val="auto"/>
          <w:sz w:val="24"/>
          <w:szCs w:val="24"/>
          <w:highlight w:val="none"/>
        </w:rPr>
        <w:t>更的范围的约定：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D9BDCF0">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bookmarkStart w:id="678" w:name="_Toc12690"/>
      <w:bookmarkStart w:id="679" w:name="_Toc26201"/>
      <w:bookmarkStart w:id="680" w:name="_Toc21236"/>
      <w:bookmarkStart w:id="681" w:name="_Toc9599"/>
      <w:bookmarkStart w:id="682" w:name="_Toc17190"/>
      <w:bookmarkStart w:id="683" w:name="_Toc28629"/>
      <w:bookmarkStart w:id="684" w:name="_Toc12913"/>
      <w:bookmarkStart w:id="685" w:name="_Toc27790"/>
      <w:bookmarkStart w:id="686" w:name="_Toc6150"/>
      <w:bookmarkStart w:id="687" w:name="_Toc32382"/>
      <w:bookmarkStart w:id="688" w:name="_Toc9976"/>
      <w:bookmarkStart w:id="689" w:name="_Toc1594"/>
      <w:bookmarkStart w:id="690" w:name="_Toc16327"/>
      <w:bookmarkStart w:id="691" w:name="_Toc3416"/>
      <w:r>
        <w:rPr>
          <w:rFonts w:hint="eastAsia" w:ascii="宋体" w:hAnsi="宋体" w:eastAsia="宋体" w:cs="宋体"/>
          <w:color w:val="auto"/>
          <w:sz w:val="24"/>
          <w:szCs w:val="24"/>
          <w:highlight w:val="none"/>
        </w:rPr>
        <w:t>10.4 变更估</w:t>
      </w:r>
      <w:r>
        <w:rPr>
          <w:rFonts w:hint="eastAsia" w:ascii="宋体" w:hAnsi="宋体" w:eastAsia="宋体" w:cs="宋体"/>
          <w:color w:val="auto"/>
          <w:kern w:val="0"/>
          <w:sz w:val="24"/>
          <w:szCs w:val="24"/>
          <w:highlight w:val="none"/>
        </w:rPr>
        <w:t>价</w:t>
      </w:r>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p>
    <w:p w14:paraId="5BE98A15">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10.4.1 变更估价原则</w:t>
      </w:r>
    </w:p>
    <w:p w14:paraId="3B3C1C64">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关于变更估价的</w:t>
      </w:r>
      <w:r>
        <w:rPr>
          <w:rFonts w:hint="eastAsia" w:ascii="宋体" w:hAnsi="宋体" w:eastAsia="宋体" w:cs="宋体"/>
          <w:color w:val="auto"/>
          <w:sz w:val="24"/>
          <w:szCs w:val="24"/>
          <w:highlight w:val="none"/>
        </w:rPr>
        <w:t xml:space="preserve">约定: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DFBD139">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w:t>
      </w:r>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Start w:id="692" w:name="_Toc300934993"/>
      <w:bookmarkStart w:id="693" w:name="_Toc296944536"/>
      <w:bookmarkStart w:id="694" w:name="_Toc296347196"/>
      <w:bookmarkStart w:id="695" w:name="_Toc296503197"/>
      <w:bookmarkStart w:id="696" w:name="_Toc296346698"/>
      <w:bookmarkStart w:id="697" w:name="_Toc292559402"/>
      <w:bookmarkStart w:id="698" w:name="_Toc296891237"/>
      <w:bookmarkStart w:id="699" w:name="_Toc292559907"/>
      <w:bookmarkStart w:id="700" w:name="_Toc303539150"/>
      <w:bookmarkStart w:id="701" w:name="_Toc297048383"/>
      <w:bookmarkStart w:id="702" w:name="_Toc297216203"/>
      <w:bookmarkStart w:id="703" w:name="_Toc296891025"/>
      <w:bookmarkStart w:id="704" w:name="_Toc297120497"/>
      <w:bookmarkStart w:id="705" w:name="_Toc297123544"/>
      <w:bookmarkStart w:id="706" w:name="_Toc312677503"/>
      <w:bookmarkStart w:id="707" w:name="_Toc304295570"/>
      <w:bookmarkStart w:id="708" w:name="_Toc312678029"/>
      <w:r>
        <w:rPr>
          <w:rFonts w:hint="eastAsia" w:ascii="宋体" w:hAnsi="宋体" w:eastAsia="宋体" w:cs="宋体"/>
          <w:color w:val="auto"/>
          <w:sz w:val="24"/>
          <w:szCs w:val="24"/>
          <w:highlight w:val="none"/>
        </w:rPr>
        <w:t>0.5承</w:t>
      </w:r>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Start w:id="709" w:name="_Toc300934994"/>
      <w:bookmarkStart w:id="710" w:name="_Toc296891031"/>
      <w:bookmarkStart w:id="711" w:name="_Toc303539151"/>
      <w:bookmarkStart w:id="712" w:name="_Toc296891243"/>
      <w:bookmarkStart w:id="713" w:name="_Toc297120503"/>
      <w:bookmarkStart w:id="714" w:name="_Toc297216204"/>
      <w:bookmarkStart w:id="715" w:name="_Toc296346704"/>
      <w:bookmarkStart w:id="716" w:name="_Toc292559408"/>
      <w:bookmarkStart w:id="717" w:name="_Toc297123545"/>
      <w:bookmarkStart w:id="718" w:name="_Toc292559913"/>
      <w:bookmarkStart w:id="719" w:name="_Toc296347202"/>
      <w:bookmarkStart w:id="720" w:name="_Toc297048389"/>
      <w:bookmarkStart w:id="721" w:name="_Toc296944542"/>
      <w:bookmarkStart w:id="722" w:name="_Toc296503203"/>
      <w:r>
        <w:rPr>
          <w:rFonts w:hint="eastAsia" w:ascii="宋体" w:hAnsi="宋体" w:eastAsia="宋体" w:cs="宋体"/>
          <w:color w:val="auto"/>
          <w:sz w:val="24"/>
          <w:szCs w:val="24"/>
          <w:highlight w:val="none"/>
        </w:rPr>
        <w:t>包人的合理</w:t>
      </w:r>
      <w:r>
        <w:rPr>
          <w:rFonts w:hint="eastAsia" w:ascii="宋体" w:hAnsi="宋体" w:eastAsia="宋体" w:cs="宋体"/>
          <w:color w:val="auto"/>
          <w:kern w:val="0"/>
          <w:sz w:val="24"/>
          <w:szCs w:val="24"/>
          <w:highlight w:val="none"/>
        </w:rPr>
        <w:t>化建议</w:t>
      </w:r>
    </w:p>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p w14:paraId="09B19216">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监理人审查承包人合</w:t>
      </w:r>
      <w:r>
        <w:rPr>
          <w:rFonts w:hint="eastAsia" w:ascii="宋体" w:hAnsi="宋体" w:eastAsia="宋体" w:cs="宋体"/>
          <w:color w:val="auto"/>
          <w:sz w:val="24"/>
          <w:szCs w:val="24"/>
          <w:highlight w:val="none"/>
        </w:rPr>
        <w:t>理化建议的期限：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E42194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发包人审批承包人合理化建议的期限：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95145C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承</w:t>
      </w:r>
      <w:bookmarkStart w:id="723" w:name="_Toc312677504"/>
      <w:bookmarkStart w:id="724" w:name="_Toc297120504"/>
      <w:bookmarkStart w:id="725" w:name="_Toc292559409"/>
      <w:bookmarkStart w:id="726" w:name="_Toc296503204"/>
      <w:bookmarkStart w:id="727" w:name="_Toc300934995"/>
      <w:bookmarkStart w:id="728" w:name="_Toc296891032"/>
      <w:bookmarkStart w:id="729" w:name="_Toc296891244"/>
      <w:bookmarkStart w:id="730" w:name="_Toc296346705"/>
      <w:bookmarkStart w:id="731" w:name="_Toc312678030"/>
      <w:bookmarkStart w:id="732" w:name="_Toc318581175"/>
      <w:bookmarkStart w:id="733" w:name="_Toc296944543"/>
      <w:bookmarkStart w:id="734" w:name="_Toc292559914"/>
      <w:bookmarkStart w:id="735" w:name="_Toc297048390"/>
      <w:bookmarkStart w:id="736" w:name="_Toc297216205"/>
      <w:bookmarkStart w:id="737" w:name="_Toc304295571"/>
      <w:bookmarkStart w:id="738" w:name="_Toc303539152"/>
      <w:bookmarkStart w:id="739" w:name="_Toc296347203"/>
      <w:bookmarkStart w:id="740" w:name="_Toc297123546"/>
      <w:r>
        <w:rPr>
          <w:rFonts w:hint="eastAsia" w:ascii="宋体" w:hAnsi="宋体" w:eastAsia="宋体" w:cs="宋体"/>
          <w:color w:val="auto"/>
          <w:sz w:val="24"/>
          <w:szCs w:val="24"/>
          <w:highlight w:val="none"/>
        </w:rPr>
        <w:t>包人提出的合理化建议降低了合同价格或者提高了工程经济效益的奖励的方法和金额为：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p w14:paraId="10CFD599">
      <w:pPr>
        <w:pageBreakBefore w:val="0"/>
        <w:widowControl w:val="0"/>
        <w:kinsoku/>
        <w:wordWrap/>
        <w:overflowPunct/>
        <w:topLinePunct w:val="0"/>
        <w:bidi w:val="0"/>
        <w:snapToGrid/>
        <w:spacing w:after="120" w:line="380" w:lineRule="exact"/>
        <w:ind w:firstLine="480" w:firstLineChars="200"/>
        <w:textAlignment w:val="auto"/>
        <w:outlineLvl w:val="0"/>
        <w:rPr>
          <w:rFonts w:hint="eastAsia" w:ascii="宋体" w:hAnsi="宋体" w:eastAsia="宋体" w:cs="宋体"/>
          <w:color w:val="auto"/>
          <w:sz w:val="24"/>
          <w:szCs w:val="24"/>
          <w:highlight w:val="none"/>
        </w:rPr>
      </w:pPr>
      <w:bookmarkStart w:id="741" w:name="_Toc31278"/>
      <w:bookmarkStart w:id="742" w:name="_Toc26905"/>
      <w:bookmarkStart w:id="743" w:name="_Toc20513"/>
      <w:bookmarkStart w:id="744" w:name="_Toc22788"/>
      <w:bookmarkStart w:id="745" w:name="_Toc11233"/>
      <w:bookmarkStart w:id="746" w:name="_Toc3929"/>
      <w:bookmarkStart w:id="747" w:name="_Toc18235"/>
      <w:bookmarkStart w:id="748" w:name="_Toc13909"/>
      <w:bookmarkStart w:id="749" w:name="_Toc15099"/>
      <w:bookmarkStart w:id="750" w:name="_Toc25705"/>
      <w:bookmarkStart w:id="751" w:name="_Toc14268"/>
      <w:bookmarkStart w:id="752" w:name="_Toc16608"/>
      <w:bookmarkStart w:id="753" w:name="_Toc29201"/>
      <w:bookmarkStart w:id="754" w:name="_Toc20286"/>
      <w:bookmarkStart w:id="755" w:name="_Toc11825"/>
      <w:bookmarkStart w:id="756" w:name="_Toc3503"/>
      <w:r>
        <w:rPr>
          <w:rFonts w:hint="eastAsia" w:ascii="宋体" w:hAnsi="宋体" w:eastAsia="宋体" w:cs="宋体"/>
          <w:color w:val="auto"/>
          <w:sz w:val="24"/>
          <w:szCs w:val="24"/>
          <w:highlight w:val="none"/>
        </w:rPr>
        <w:t>1</w:t>
      </w:r>
      <w:bookmarkStart w:id="757" w:name="_Toc292559909"/>
      <w:bookmarkStart w:id="758" w:name="_Toc297123548"/>
      <w:bookmarkStart w:id="759" w:name="_Toc296944538"/>
      <w:bookmarkStart w:id="760" w:name="_Toc296346700"/>
      <w:bookmarkStart w:id="761" w:name="_Toc312677507"/>
      <w:bookmarkStart w:id="762" w:name="_Toc296347198"/>
      <w:bookmarkStart w:id="763" w:name="_Toc297048385"/>
      <w:bookmarkStart w:id="764" w:name="_Toc292559404"/>
      <w:bookmarkStart w:id="765" w:name="_Toc297216207"/>
      <w:bookmarkStart w:id="766" w:name="_Toc297120499"/>
      <w:bookmarkStart w:id="767" w:name="_Toc296503199"/>
      <w:bookmarkStart w:id="768" w:name="_Toc300934997"/>
      <w:bookmarkStart w:id="769" w:name="_Toc303539154"/>
      <w:bookmarkStart w:id="770" w:name="_Toc312678033"/>
      <w:bookmarkStart w:id="771" w:name="_Toc296891027"/>
      <w:bookmarkStart w:id="772" w:name="_Toc304295574"/>
      <w:bookmarkStart w:id="773" w:name="_Toc296891239"/>
      <w:r>
        <w:rPr>
          <w:rFonts w:hint="eastAsia" w:ascii="宋体" w:hAnsi="宋体" w:eastAsia="宋体" w:cs="宋体"/>
          <w:color w:val="auto"/>
          <w:sz w:val="24"/>
          <w:szCs w:val="24"/>
          <w:highlight w:val="none"/>
        </w:rPr>
        <w:t>0.7 暂估价</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p>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p w14:paraId="7A93DAB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暂</w:t>
      </w:r>
      <w:bookmarkStart w:id="774" w:name="_Toc318581176"/>
      <w:bookmarkStart w:id="775" w:name="_Toc312678034"/>
      <w:bookmarkStart w:id="776" w:name="_Toc312677508"/>
      <w:r>
        <w:rPr>
          <w:rFonts w:hint="eastAsia" w:ascii="宋体" w:hAnsi="宋体" w:eastAsia="宋体" w:cs="宋体"/>
          <w:color w:val="auto"/>
          <w:kern w:val="0"/>
          <w:sz w:val="24"/>
          <w:szCs w:val="24"/>
          <w:highlight w:val="none"/>
        </w:rPr>
        <w:t>估价材料和工程设备的明细详见附件11：《</w:t>
      </w:r>
      <w:r>
        <w:rPr>
          <w:rFonts w:hint="eastAsia" w:ascii="宋体" w:hAnsi="宋体" w:eastAsia="宋体" w:cs="宋体"/>
          <w:color w:val="auto"/>
          <w:sz w:val="24"/>
          <w:szCs w:val="24"/>
          <w:highlight w:val="none"/>
        </w:rPr>
        <w:t>暂估价一览表》</w:t>
      </w:r>
      <w:r>
        <w:rPr>
          <w:rFonts w:hint="eastAsia" w:ascii="宋体" w:hAnsi="宋体" w:eastAsia="宋体" w:cs="宋体"/>
          <w:color w:val="auto"/>
          <w:kern w:val="0"/>
          <w:sz w:val="24"/>
          <w:szCs w:val="24"/>
          <w:highlight w:val="none"/>
        </w:rPr>
        <w:t>。</w:t>
      </w:r>
    </w:p>
    <w:bookmarkEnd w:id="774"/>
    <w:bookmarkEnd w:id="775"/>
    <w:bookmarkEnd w:id="776"/>
    <w:p w14:paraId="27880CA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Start w:id="777" w:name="_Toc318581177"/>
      <w:bookmarkStart w:id="778" w:name="_Toc312678035"/>
      <w:bookmarkStart w:id="779" w:name="_Toc312677509"/>
      <w:r>
        <w:rPr>
          <w:rFonts w:hint="eastAsia" w:ascii="宋体" w:hAnsi="宋体" w:eastAsia="宋体" w:cs="宋体"/>
          <w:color w:val="auto"/>
          <w:sz w:val="24"/>
          <w:szCs w:val="24"/>
          <w:highlight w:val="none"/>
        </w:rPr>
        <w:t>0.7.1 依法必须招标的暂估价项目</w:t>
      </w:r>
    </w:p>
    <w:bookmarkEnd w:id="777"/>
    <w:bookmarkEnd w:id="778"/>
    <w:bookmarkEnd w:id="779"/>
    <w:p w14:paraId="1DA947E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对于依法必须招标的暂估价项目的确认和批准采取第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种方式确定。</w:t>
      </w:r>
    </w:p>
    <w:p w14:paraId="1DA5097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10.7.2 不属于依法必须招标的暂估价项目</w:t>
      </w:r>
    </w:p>
    <w:p w14:paraId="5F29582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对于不属于依法必须招标的暂估价项目的确认和批准采取第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种方式确定。</w:t>
      </w:r>
    </w:p>
    <w:p w14:paraId="36938D0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第3种方式：</w:t>
      </w:r>
      <w:r>
        <w:rPr>
          <w:rFonts w:hint="eastAsia" w:ascii="宋体" w:hAnsi="宋体" w:eastAsia="宋体" w:cs="宋体"/>
          <w:color w:val="auto"/>
          <w:kern w:val="0"/>
          <w:sz w:val="24"/>
          <w:szCs w:val="24"/>
          <w:highlight w:val="none"/>
        </w:rPr>
        <w:t>承包人直接实施的暂估价项目</w:t>
      </w:r>
    </w:p>
    <w:p w14:paraId="2034D05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承包人直接实施的暂估价项目的约定：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D7F124B">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10.8 暂</w:t>
      </w:r>
      <w:r>
        <w:rPr>
          <w:rFonts w:hint="eastAsia" w:ascii="宋体" w:hAnsi="宋体" w:eastAsia="宋体" w:cs="宋体"/>
          <w:color w:val="auto"/>
          <w:kern w:val="0"/>
          <w:sz w:val="24"/>
          <w:szCs w:val="24"/>
          <w:highlight w:val="none"/>
        </w:rPr>
        <w:t>列金额</w:t>
      </w:r>
    </w:p>
    <w:p w14:paraId="137B3D8C">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合同当事人关于暂列金额使用的约定：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w:t>
      </w:r>
    </w:p>
    <w:p w14:paraId="4CB68036">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780" w:name="_Toc27516"/>
      <w:r>
        <w:rPr>
          <w:rFonts w:hint="eastAsia" w:ascii="宋体" w:hAnsi="宋体" w:eastAsia="宋体" w:cs="宋体"/>
          <w:b/>
          <w:bCs w:val="0"/>
          <w:color w:val="auto"/>
          <w:sz w:val="24"/>
          <w:szCs w:val="24"/>
          <w:highlight w:val="none"/>
        </w:rPr>
        <w:t>11. 价格调整</w:t>
      </w:r>
      <w:bookmarkEnd w:id="780"/>
    </w:p>
    <w:p w14:paraId="5FA31EC8">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bookmarkStart w:id="781" w:name="_Toc297120501"/>
      <w:bookmarkStart w:id="782" w:name="_Toc296346702"/>
      <w:bookmarkStart w:id="783" w:name="_Toc312678039"/>
      <w:bookmarkStart w:id="784" w:name="_Toc296944540"/>
      <w:bookmarkStart w:id="785" w:name="_Toc297123550"/>
      <w:bookmarkStart w:id="786" w:name="_Toc292559406"/>
      <w:bookmarkStart w:id="787" w:name="_Toc297048387"/>
      <w:bookmarkStart w:id="788" w:name="_Toc296891029"/>
      <w:bookmarkStart w:id="789" w:name="_Toc303539157"/>
      <w:bookmarkStart w:id="790" w:name="_Toc296503201"/>
      <w:bookmarkStart w:id="791" w:name="_Toc304295577"/>
      <w:bookmarkStart w:id="792" w:name="_Toc297216209"/>
      <w:bookmarkStart w:id="793" w:name="_Toc296891241"/>
      <w:bookmarkStart w:id="794" w:name="_Toc292559911"/>
      <w:bookmarkStart w:id="795" w:name="_Toc296347200"/>
      <w:bookmarkStart w:id="796" w:name="_Toc300935000"/>
      <w:r>
        <w:rPr>
          <w:rFonts w:hint="eastAsia" w:ascii="宋体" w:hAnsi="宋体" w:eastAsia="宋体" w:cs="宋体"/>
          <w:color w:val="auto"/>
          <w:sz w:val="24"/>
          <w:szCs w:val="24"/>
          <w:highlight w:val="none"/>
        </w:rPr>
        <w:t>11.1 市场价格波动</w:t>
      </w:r>
      <w:r>
        <w:rPr>
          <w:rFonts w:hint="eastAsia" w:ascii="宋体" w:hAnsi="宋体" w:eastAsia="宋体" w:cs="宋体"/>
          <w:color w:val="auto"/>
          <w:kern w:val="0"/>
          <w:sz w:val="24"/>
          <w:szCs w:val="24"/>
          <w:highlight w:val="none"/>
        </w:rPr>
        <w:t>引起的调整</w:t>
      </w:r>
    </w:p>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p w14:paraId="0214E72B">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市场价格波动是否调整合同价格的约定：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E949F6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因市场价格波动调整合同价格，采用以下第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种方式对合同价格进行调整：</w:t>
      </w:r>
    </w:p>
    <w:p w14:paraId="2C3AA6D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第1种方式：采用价格指数进行价格调整。</w:t>
      </w:r>
    </w:p>
    <w:p w14:paraId="0807498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关于各可调因子、定值和变值权重，以及基本价格指数及其来源的约定：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72A9E8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第2种方式：采用造价信息进行价格调整。</w:t>
      </w:r>
    </w:p>
    <w:p w14:paraId="0F839DB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（2）关于基准价格的约定：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B3AF57B">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%时，或材料单价跌幅以已标价工程量清单或预算书中载明材料单价为基础超过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%时，其超过部分据实调整。</w:t>
      </w:r>
    </w:p>
    <w:p w14:paraId="24B4E42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②承包人在已标价工程量清单或预算书中载明的材料单价高于基准价格的：专用合同条款合同履行期间材料单价跌幅以基准价格为基础超过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%时，材料单价涨幅以已标价工程量清单或预算书中载明材料单价为基础超过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%时，其超过部分据实调整。</w:t>
      </w:r>
    </w:p>
    <w:p w14:paraId="23E19F7E">
      <w:pPr>
        <w:pageBreakBefore w:val="0"/>
        <w:widowControl w:val="0"/>
        <w:kinsoku/>
        <w:wordWrap/>
        <w:overflowPunct/>
        <w:topLinePunct w:val="0"/>
        <w:bidi w:val="0"/>
        <w:snapToGrid/>
        <w:spacing w:line="380" w:lineRule="exact"/>
        <w:ind w:firstLine="64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③承包人在已标价工程量清单或预算书中载明的材料单价等于基准单价的：专用合同条款合同履行期间材料单价涨跌幅以基准单价为基础超过±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%时，其超过部分据实调整。</w:t>
      </w:r>
    </w:p>
    <w:p w14:paraId="76748360">
      <w:pPr>
        <w:pageBreakBefore w:val="0"/>
        <w:widowControl w:val="0"/>
        <w:kinsoku/>
        <w:wordWrap/>
        <w:overflowPunct/>
        <w:topLinePunct w:val="0"/>
        <w:bidi w:val="0"/>
        <w:snapToGrid/>
        <w:spacing w:line="380" w:lineRule="exact"/>
        <w:ind w:firstLine="64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第3种方式：其他价格调整方式：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654"/>
    <w:bookmarkEnd w:id="655"/>
    <w:bookmarkEnd w:id="656"/>
    <w:bookmarkEnd w:id="657"/>
    <w:bookmarkEnd w:id="658"/>
    <w:bookmarkEnd w:id="659"/>
    <w:p w14:paraId="72319E09">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797" w:name="_Toc297048391"/>
      <w:bookmarkStart w:id="798" w:name="_Toc292559915"/>
      <w:bookmarkStart w:id="799" w:name="_Toc296503205"/>
      <w:bookmarkStart w:id="800" w:name="_Toc296346706"/>
      <w:bookmarkStart w:id="801" w:name="_Toc296347204"/>
      <w:bookmarkStart w:id="802" w:name="_Toc296891033"/>
      <w:bookmarkStart w:id="803" w:name="_Toc297120505"/>
      <w:bookmarkStart w:id="804" w:name="_Toc296944544"/>
      <w:bookmarkStart w:id="805" w:name="_Toc292559410"/>
      <w:bookmarkStart w:id="806" w:name="_Toc296891245"/>
      <w:bookmarkStart w:id="807" w:name="_Toc25515"/>
      <w:bookmarkStart w:id="808" w:name="_Toc303539159"/>
      <w:bookmarkStart w:id="809" w:name="_Toc304295579"/>
      <w:bookmarkStart w:id="810" w:name="_Toc300935002"/>
      <w:bookmarkStart w:id="811" w:name="_Toc297216211"/>
      <w:bookmarkStart w:id="812" w:name="_Toc312678040"/>
      <w:bookmarkStart w:id="813" w:name="_Toc297123552"/>
      <w:r>
        <w:rPr>
          <w:rFonts w:hint="eastAsia" w:ascii="宋体" w:hAnsi="宋体" w:eastAsia="宋体" w:cs="宋体"/>
          <w:b/>
          <w:bCs w:val="0"/>
          <w:color w:val="auto"/>
          <w:sz w:val="24"/>
          <w:szCs w:val="24"/>
          <w:highlight w:val="none"/>
        </w:rPr>
        <w:t xml:space="preserve">12. </w:t>
      </w:r>
      <w:bookmarkEnd w:id="797"/>
      <w:bookmarkEnd w:id="798"/>
      <w:bookmarkEnd w:id="799"/>
      <w:bookmarkEnd w:id="800"/>
      <w:bookmarkEnd w:id="801"/>
      <w:bookmarkEnd w:id="802"/>
      <w:bookmarkEnd w:id="803"/>
      <w:bookmarkEnd w:id="804"/>
      <w:bookmarkEnd w:id="805"/>
      <w:bookmarkEnd w:id="806"/>
      <w:r>
        <w:rPr>
          <w:rFonts w:hint="eastAsia" w:ascii="宋体" w:hAnsi="宋体" w:eastAsia="宋体" w:cs="宋体"/>
          <w:b/>
          <w:bCs w:val="0"/>
          <w:color w:val="auto"/>
          <w:sz w:val="24"/>
          <w:szCs w:val="24"/>
          <w:highlight w:val="none"/>
        </w:rPr>
        <w:t>合同价格、计量与支付</w:t>
      </w:r>
      <w:bookmarkEnd w:id="807"/>
    </w:p>
    <w:bookmarkEnd w:id="808"/>
    <w:bookmarkEnd w:id="809"/>
    <w:bookmarkEnd w:id="810"/>
    <w:bookmarkEnd w:id="811"/>
    <w:bookmarkEnd w:id="812"/>
    <w:bookmarkEnd w:id="813"/>
    <w:p w14:paraId="33715AB9">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bookmarkStart w:id="814" w:name="_Toc267251461"/>
      <w:bookmarkStart w:id="815" w:name="_Toc292559916"/>
      <w:bookmarkStart w:id="816" w:name="_Toc292559411"/>
      <w:bookmarkStart w:id="817" w:name="_Toc296503206"/>
      <w:bookmarkStart w:id="818" w:name="_Toc296346707"/>
      <w:bookmarkStart w:id="819" w:name="_Toc297048392"/>
      <w:bookmarkStart w:id="820" w:name="_Toc296347205"/>
      <w:bookmarkStart w:id="821" w:name="_Toc296891246"/>
      <w:bookmarkStart w:id="822" w:name="_Toc297120506"/>
      <w:bookmarkStart w:id="823" w:name="_Toc296944545"/>
      <w:bookmarkStart w:id="824" w:name="_Toc296891034"/>
      <w:bookmarkStart w:id="825" w:name="_Toc304295580"/>
      <w:bookmarkStart w:id="826" w:name="_Toc300935003"/>
      <w:bookmarkStart w:id="827" w:name="_Toc303539160"/>
      <w:bookmarkStart w:id="828" w:name="_Toc297123553"/>
      <w:bookmarkStart w:id="829" w:name="_Toc297216212"/>
      <w:bookmarkStart w:id="830" w:name="_Toc312678041"/>
      <w:r>
        <w:rPr>
          <w:rFonts w:hint="eastAsia" w:ascii="宋体" w:hAnsi="宋体" w:eastAsia="宋体" w:cs="宋体"/>
          <w:color w:val="auto"/>
          <w:sz w:val="24"/>
          <w:szCs w:val="24"/>
          <w:highlight w:val="none"/>
        </w:rPr>
        <w:t>12.1 合</w:t>
      </w:r>
      <w:bookmarkEnd w:id="814"/>
      <w:bookmarkEnd w:id="815"/>
      <w:bookmarkEnd w:id="816"/>
      <w:r>
        <w:rPr>
          <w:rFonts w:hint="eastAsia" w:ascii="宋体" w:hAnsi="宋体" w:eastAsia="宋体" w:cs="宋体"/>
          <w:color w:val="auto"/>
          <w:sz w:val="24"/>
          <w:szCs w:val="24"/>
          <w:highlight w:val="none"/>
        </w:rPr>
        <w:t>同价</w:t>
      </w:r>
      <w:bookmarkEnd w:id="817"/>
      <w:bookmarkEnd w:id="818"/>
      <w:bookmarkEnd w:id="819"/>
      <w:bookmarkEnd w:id="820"/>
      <w:bookmarkEnd w:id="821"/>
      <w:bookmarkEnd w:id="822"/>
      <w:bookmarkEnd w:id="823"/>
      <w:bookmarkEnd w:id="824"/>
      <w:r>
        <w:rPr>
          <w:rFonts w:hint="eastAsia" w:ascii="宋体" w:hAnsi="宋体" w:eastAsia="宋体" w:cs="宋体"/>
          <w:color w:val="auto"/>
          <w:kern w:val="0"/>
          <w:sz w:val="24"/>
          <w:szCs w:val="24"/>
          <w:highlight w:val="none"/>
        </w:rPr>
        <w:t>格形式</w:t>
      </w:r>
    </w:p>
    <w:bookmarkEnd w:id="825"/>
    <w:bookmarkEnd w:id="826"/>
    <w:bookmarkEnd w:id="827"/>
    <w:bookmarkEnd w:id="828"/>
    <w:bookmarkEnd w:id="829"/>
    <w:bookmarkEnd w:id="830"/>
    <w:p w14:paraId="640C10DC">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eastAsia="zh-CN"/>
        </w:rPr>
        <w:t>1.</w:t>
      </w:r>
      <w:r>
        <w:rPr>
          <w:rFonts w:hint="eastAsia" w:ascii="宋体" w:hAnsi="宋体" w:eastAsia="宋体" w:cs="宋体"/>
          <w:color w:val="auto"/>
          <w:kern w:val="0"/>
          <w:sz w:val="24"/>
          <w:szCs w:val="24"/>
          <w:highlight w:val="none"/>
        </w:rPr>
        <w:t>单价合同</w:t>
      </w:r>
      <w:r>
        <w:rPr>
          <w:rFonts w:hint="eastAsia" w:ascii="宋体" w:hAnsi="宋体" w:eastAsia="宋体" w:cs="宋体"/>
          <w:color w:val="auto"/>
          <w:sz w:val="24"/>
          <w:szCs w:val="24"/>
          <w:highlight w:val="none"/>
        </w:rPr>
        <w:t>。</w:t>
      </w:r>
    </w:p>
    <w:p w14:paraId="03B968B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综合单价包含的风险范围：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C452A2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风险费用的计算方法：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F0F89F1">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风险范围以外合同价格的调整方法：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B750D12">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highlight w:val="none"/>
        </w:rPr>
        <w:t>总价</w:t>
      </w:r>
      <w:r>
        <w:rPr>
          <w:rFonts w:hint="eastAsia" w:ascii="宋体" w:hAnsi="宋体" w:eastAsia="宋体" w:cs="宋体"/>
          <w:color w:val="auto"/>
          <w:kern w:val="0"/>
          <w:sz w:val="24"/>
          <w:szCs w:val="24"/>
          <w:highlight w:val="none"/>
        </w:rPr>
        <w:t>合同。</w:t>
      </w:r>
    </w:p>
    <w:p w14:paraId="75E2A9FF">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总价包含的</w:t>
      </w:r>
      <w:r>
        <w:rPr>
          <w:rFonts w:hint="eastAsia" w:ascii="宋体" w:hAnsi="宋体" w:eastAsia="宋体" w:cs="宋体"/>
          <w:color w:val="auto"/>
          <w:sz w:val="24"/>
          <w:szCs w:val="24"/>
          <w:highlight w:val="none"/>
        </w:rPr>
        <w:t>风险范围：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341D96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风险费用的计算方法：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D900228">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风险范围以外合同价格的调整方法：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8F19EC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其他价格方式：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A38F761">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bookmarkStart w:id="831" w:name="_Toc297123554"/>
      <w:bookmarkStart w:id="832" w:name="_Toc297216213"/>
      <w:bookmarkStart w:id="833" w:name="_Toc300935004"/>
      <w:bookmarkStart w:id="834" w:name="_Toc304295581"/>
      <w:bookmarkStart w:id="835" w:name="_Toc303539161"/>
      <w:bookmarkStart w:id="836" w:name="_Toc312678042"/>
      <w:bookmarkStart w:id="837" w:name="_Toc297120507"/>
      <w:bookmarkStart w:id="838" w:name="_Toc296944546"/>
      <w:bookmarkStart w:id="839" w:name="_Toc296891035"/>
      <w:bookmarkStart w:id="840" w:name="_Toc296891247"/>
      <w:bookmarkStart w:id="841" w:name="_Toc296347206"/>
      <w:bookmarkStart w:id="842" w:name="_Toc296503207"/>
      <w:bookmarkStart w:id="843" w:name="_Toc292559412"/>
      <w:bookmarkStart w:id="844" w:name="_Toc297048393"/>
      <w:bookmarkStart w:id="845" w:name="_Toc296346708"/>
      <w:bookmarkStart w:id="846" w:name="_Toc292559917"/>
      <w:r>
        <w:rPr>
          <w:rFonts w:hint="eastAsia" w:ascii="宋体" w:hAnsi="宋体" w:eastAsia="宋体" w:cs="宋体"/>
          <w:color w:val="auto"/>
          <w:sz w:val="24"/>
          <w:szCs w:val="24"/>
          <w:highlight w:val="none"/>
        </w:rPr>
        <w:t>12.2</w:t>
      </w:r>
      <w:r>
        <w:rPr>
          <w:rFonts w:hint="eastAsia" w:ascii="宋体" w:hAnsi="宋体" w:eastAsia="宋体" w:cs="宋体"/>
          <w:color w:val="auto"/>
          <w:kern w:val="0"/>
          <w:sz w:val="24"/>
          <w:szCs w:val="24"/>
          <w:highlight w:val="none"/>
        </w:rPr>
        <w:t xml:space="preserve"> 预付款</w:t>
      </w:r>
    </w:p>
    <w:bookmarkEnd w:id="831"/>
    <w:bookmarkEnd w:id="832"/>
    <w:bookmarkEnd w:id="833"/>
    <w:bookmarkEnd w:id="834"/>
    <w:bookmarkEnd w:id="835"/>
    <w:bookmarkEnd w:id="836"/>
    <w:p w14:paraId="12399D59">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 xml:space="preserve">12.2.1 </w:t>
      </w:r>
      <w:r>
        <w:rPr>
          <w:rFonts w:hint="eastAsia" w:ascii="宋体" w:hAnsi="宋体" w:eastAsia="宋体" w:cs="宋体"/>
          <w:color w:val="auto"/>
          <w:sz w:val="24"/>
          <w:szCs w:val="24"/>
          <w:highlight w:val="none"/>
        </w:rPr>
        <w:t>预付款的支付</w:t>
      </w:r>
    </w:p>
    <w:p w14:paraId="52067B91">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预付款支付比例或金额：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00A6C25">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预付款支付期限：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642A05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预付款扣回的方式：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726785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12.2.2 预付款担保</w:t>
      </w:r>
    </w:p>
    <w:p w14:paraId="46F1B975">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承包人提交预付款担保的期限：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05A0631">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预付款担保的形式为：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837"/>
    <w:bookmarkEnd w:id="838"/>
    <w:bookmarkEnd w:id="839"/>
    <w:bookmarkEnd w:id="840"/>
    <w:bookmarkEnd w:id="841"/>
    <w:bookmarkEnd w:id="842"/>
    <w:bookmarkEnd w:id="843"/>
    <w:bookmarkEnd w:id="844"/>
    <w:bookmarkEnd w:id="845"/>
    <w:bookmarkEnd w:id="846"/>
    <w:p w14:paraId="1EF3EBBD">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12.3 计</w:t>
      </w:r>
      <w:r>
        <w:rPr>
          <w:rFonts w:hint="eastAsia" w:ascii="宋体" w:hAnsi="宋体" w:eastAsia="宋体" w:cs="宋体"/>
          <w:color w:val="auto"/>
          <w:kern w:val="0"/>
          <w:sz w:val="24"/>
          <w:szCs w:val="24"/>
          <w:highlight w:val="none"/>
        </w:rPr>
        <w:t>量</w:t>
      </w:r>
    </w:p>
    <w:p w14:paraId="27150CE9">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12.3.1 计量原则</w:t>
      </w:r>
    </w:p>
    <w:p w14:paraId="5B3279C9">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工程量计算</w:t>
      </w:r>
      <w:r>
        <w:rPr>
          <w:rFonts w:hint="eastAsia" w:ascii="宋体" w:hAnsi="宋体" w:eastAsia="宋体" w:cs="宋体"/>
          <w:color w:val="auto"/>
          <w:sz w:val="24"/>
          <w:szCs w:val="24"/>
          <w:highlight w:val="none"/>
        </w:rPr>
        <w:t>规则：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E9FBC7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12.3.2 计量周期</w:t>
      </w:r>
    </w:p>
    <w:p w14:paraId="6E9D94D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关于计量周期的约定：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326FE9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12.3.3 单价合同的计量</w:t>
      </w:r>
    </w:p>
    <w:p w14:paraId="1514638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关于单价合同计量的约定：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503633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12.3.4 总价合同的计量</w:t>
      </w:r>
    </w:p>
    <w:p w14:paraId="6ACCABB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关于总价合同计量的约定：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06F37E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12.3.5总价合同采用支付分解表计量支付的，是否适用第</w:t>
      </w:r>
      <w:r>
        <w:rPr>
          <w:rFonts w:hint="eastAsia" w:ascii="宋体" w:hAnsi="宋体" w:eastAsia="宋体" w:cs="宋体"/>
          <w:color w:val="auto"/>
          <w:kern w:val="0"/>
          <w:sz w:val="24"/>
          <w:szCs w:val="24"/>
          <w:highlight w:val="none"/>
        </w:rPr>
        <w:t xml:space="preserve">12.3.4 </w:t>
      </w:r>
      <w:r>
        <w:rPr>
          <w:rFonts w:hint="eastAsia" w:ascii="宋体" w:hAnsi="宋体" w:eastAsia="宋体" w:cs="宋体"/>
          <w:color w:val="auto"/>
          <w:sz w:val="24"/>
          <w:szCs w:val="24"/>
          <w:highlight w:val="none"/>
        </w:rPr>
        <w:t>项</w:t>
      </w:r>
      <w:r>
        <w:rPr>
          <w:rFonts w:hint="eastAsia" w:ascii="宋体" w:hAnsi="宋体" w:eastAsia="宋体" w:cs="宋体"/>
          <w:color w:val="auto"/>
          <w:kern w:val="0"/>
          <w:sz w:val="24"/>
          <w:szCs w:val="24"/>
          <w:highlight w:val="none"/>
        </w:rPr>
        <w:t>〔总价合同的计量〕</w:t>
      </w:r>
      <w:r>
        <w:rPr>
          <w:rFonts w:hint="eastAsia" w:ascii="宋体" w:hAnsi="宋体" w:eastAsia="宋体" w:cs="宋体"/>
          <w:color w:val="auto"/>
          <w:sz w:val="24"/>
          <w:szCs w:val="24"/>
          <w:highlight w:val="none"/>
        </w:rPr>
        <w:t>约定进行计量：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ABDADA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12.3.6 其他价格形式合同的计量</w:t>
      </w:r>
    </w:p>
    <w:p w14:paraId="48E5315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其他价格形式的计量方式和程序：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E994D5B">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12.4 工</w:t>
      </w:r>
      <w:r>
        <w:rPr>
          <w:rFonts w:hint="eastAsia" w:ascii="宋体" w:hAnsi="宋体" w:eastAsia="宋体" w:cs="宋体"/>
          <w:color w:val="auto"/>
          <w:kern w:val="0"/>
          <w:sz w:val="24"/>
          <w:szCs w:val="24"/>
          <w:highlight w:val="none"/>
        </w:rPr>
        <w:t>程进度款支付</w:t>
      </w:r>
    </w:p>
    <w:p w14:paraId="0746E7F4">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847" w:name="_Toc297120511"/>
      <w:bookmarkStart w:id="848" w:name="_Toc292559416"/>
      <w:bookmarkStart w:id="849" w:name="_Toc296891039"/>
      <w:bookmarkStart w:id="850" w:name="_Toc296503211"/>
      <w:bookmarkStart w:id="851" w:name="_Toc296944550"/>
      <w:bookmarkStart w:id="852" w:name="_Toc296891251"/>
      <w:bookmarkStart w:id="853" w:name="_Toc297048397"/>
      <w:bookmarkStart w:id="854" w:name="_Toc303539163"/>
      <w:bookmarkStart w:id="855" w:name="_Toc296347210"/>
      <w:bookmarkStart w:id="856" w:name="_Toc297123556"/>
      <w:bookmarkStart w:id="857" w:name="_Toc297216215"/>
      <w:bookmarkStart w:id="858" w:name="_Toc292559921"/>
      <w:bookmarkStart w:id="859" w:name="_Toc296346712"/>
      <w:bookmarkStart w:id="860" w:name="_Toc300935006"/>
      <w:r>
        <w:rPr>
          <w:rFonts w:hint="eastAsia" w:ascii="宋体" w:hAnsi="宋体" w:eastAsia="宋体" w:cs="宋体"/>
          <w:color w:val="auto"/>
          <w:kern w:val="0"/>
          <w:sz w:val="24"/>
          <w:szCs w:val="24"/>
          <w:highlight w:val="none"/>
        </w:rPr>
        <w:t>12.4.1 付</w:t>
      </w:r>
      <w:r>
        <w:rPr>
          <w:rFonts w:hint="eastAsia" w:ascii="宋体" w:hAnsi="宋体" w:eastAsia="宋体" w:cs="宋体"/>
          <w:color w:val="auto"/>
          <w:sz w:val="24"/>
          <w:szCs w:val="24"/>
          <w:highlight w:val="none"/>
        </w:rPr>
        <w:t>款周期</w:t>
      </w:r>
    </w:p>
    <w:p w14:paraId="299E0A2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关于付款周期的约定：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按施工进度报账付款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78842F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12.4.2 进度付款申请单的编制</w:t>
      </w:r>
    </w:p>
    <w:p w14:paraId="1556628B">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关于进度付款申请单编制的约定：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A32F8F8">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r>
        <w:rPr>
          <w:rFonts w:hint="eastAsia" w:ascii="宋体" w:hAnsi="宋体" w:eastAsia="宋体" w:cs="宋体"/>
          <w:color w:val="auto"/>
          <w:sz w:val="24"/>
          <w:szCs w:val="24"/>
          <w:highlight w:val="none"/>
        </w:rPr>
        <w:t>2.4.3 进度付款申请单的提交</w:t>
      </w:r>
    </w:p>
    <w:p w14:paraId="6AA83E9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（1）单价合同进度付款申请单提交的约定：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19DE78C">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（2）总价合同进度付款申请单提交的约定：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18D04D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（3）其他价格形式合同进度付款申请单提交的约定：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5C7171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12.4.4 进度款审核和支付</w:t>
      </w:r>
    </w:p>
    <w:p w14:paraId="0BD7824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（1）监理人审查并报送发包人的期限：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15753B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发包人完成审批并签发进度款支付证书的期限：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69E25C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（2）发包人支付进度款的期限：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632DE8C">
      <w:pPr>
        <w:pageBreakBefore w:val="0"/>
        <w:widowControl w:val="0"/>
        <w:kinsoku/>
        <w:wordWrap/>
        <w:overflowPunct/>
        <w:topLinePunct w:val="0"/>
        <w:bidi w:val="0"/>
        <w:snapToGrid/>
        <w:spacing w:line="380" w:lineRule="exact"/>
        <w:ind w:firstLine="600" w:firstLineChars="25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发包人逾期支付进度款的违约金的计算方式：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9B0A4F3">
      <w:pPr>
        <w:pageBreakBefore w:val="0"/>
        <w:widowControl w:val="0"/>
        <w:kinsoku/>
        <w:wordWrap/>
        <w:overflowPunct/>
        <w:topLinePunct w:val="0"/>
        <w:bidi w:val="0"/>
        <w:snapToGrid/>
        <w:spacing w:line="380" w:lineRule="exact"/>
        <w:ind w:firstLine="600" w:firstLineChars="25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12.4.6 支付分解表的编制</w:t>
      </w:r>
    </w:p>
    <w:p w14:paraId="6F903D8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highlight w:val="none"/>
        </w:rPr>
        <w:t>总价合同支付分解表的编制与审批：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595DFD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单价合同的总价项目支付分解表的编制与审批：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660"/>
    <w:p w14:paraId="7984F61B">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861" w:name="_Toc12318"/>
      <w:bookmarkStart w:id="862" w:name="_Toc297216223"/>
      <w:bookmarkStart w:id="863" w:name="_Toc296346720"/>
      <w:bookmarkStart w:id="864" w:name="_Toc292559424"/>
      <w:bookmarkStart w:id="865" w:name="_Toc296891047"/>
      <w:bookmarkStart w:id="866" w:name="_Toc297123564"/>
      <w:bookmarkStart w:id="867" w:name="_Toc304295593"/>
      <w:bookmarkStart w:id="868" w:name="_Toc297120519"/>
      <w:bookmarkStart w:id="869" w:name="_Toc297048405"/>
      <w:bookmarkStart w:id="870" w:name="_Toc303539172"/>
      <w:bookmarkStart w:id="871" w:name="_Toc312678053"/>
      <w:bookmarkStart w:id="872" w:name="_Toc292559929"/>
      <w:bookmarkStart w:id="873" w:name="_Toc296347218"/>
      <w:bookmarkStart w:id="874" w:name="_Toc296503219"/>
      <w:bookmarkStart w:id="875" w:name="_Toc296944558"/>
      <w:bookmarkStart w:id="876" w:name="_Toc300935015"/>
      <w:bookmarkStart w:id="877" w:name="_Toc296891259"/>
      <w:r>
        <w:rPr>
          <w:rFonts w:hint="eastAsia" w:ascii="宋体" w:hAnsi="宋体" w:eastAsia="宋体" w:cs="宋体"/>
          <w:b/>
          <w:bCs w:val="0"/>
          <w:color w:val="auto"/>
          <w:sz w:val="24"/>
          <w:szCs w:val="24"/>
          <w:highlight w:val="none"/>
        </w:rPr>
        <w:t>13. 验收和工程试车</w:t>
      </w:r>
      <w:bookmarkEnd w:id="861"/>
    </w:p>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14:paraId="2801B644">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13.1 分部分项工程验收</w:t>
      </w:r>
    </w:p>
    <w:p w14:paraId="57CF951E">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13.1.2监理人不能按</w:t>
      </w:r>
      <w:r>
        <w:rPr>
          <w:rFonts w:hint="eastAsia" w:ascii="宋体" w:hAnsi="宋体" w:eastAsia="宋体" w:cs="宋体"/>
          <w:color w:val="auto"/>
          <w:sz w:val="24"/>
          <w:szCs w:val="24"/>
          <w:highlight w:val="none"/>
        </w:rPr>
        <w:t>时进行验收时，应提前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小时提交书面延期要求。</w:t>
      </w:r>
    </w:p>
    <w:p w14:paraId="43778A1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关于延期最长不得超过：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w:t>
      </w:r>
      <w:bookmarkStart w:id="878" w:name="_Toc312678056"/>
      <w:bookmarkStart w:id="879" w:name="_Toc296891051"/>
      <w:bookmarkStart w:id="880" w:name="_Toc296503223"/>
      <w:bookmarkStart w:id="881" w:name="_Toc296346724"/>
      <w:bookmarkStart w:id="882" w:name="_Toc303539173"/>
      <w:bookmarkStart w:id="883" w:name="_Toc297216224"/>
      <w:bookmarkStart w:id="884" w:name="_Toc292559933"/>
      <w:bookmarkStart w:id="885" w:name="_Toc292559428"/>
      <w:bookmarkStart w:id="886" w:name="_Toc297120523"/>
      <w:bookmarkStart w:id="887" w:name="_Toc304295596"/>
      <w:bookmarkStart w:id="888" w:name="_Toc297123565"/>
      <w:bookmarkStart w:id="889" w:name="_Toc296891263"/>
      <w:bookmarkStart w:id="890" w:name="_Toc297048409"/>
      <w:bookmarkStart w:id="891" w:name="_Toc296944562"/>
      <w:bookmarkStart w:id="892" w:name="_Toc296347222"/>
      <w:bookmarkStart w:id="893" w:name="_Toc300935016"/>
      <w:bookmarkStart w:id="894" w:name="_Toc267251476"/>
      <w:bookmarkStart w:id="895" w:name="_Toc267251473"/>
      <w:bookmarkStart w:id="896" w:name="_Toc267251472"/>
      <w:bookmarkStart w:id="897" w:name="_Toc267251474"/>
      <w:bookmarkStart w:id="898" w:name="_Toc267251475"/>
      <w:bookmarkStart w:id="899" w:name="_Toc267251471"/>
      <w:bookmarkStart w:id="900" w:name="_Toc267251470"/>
    </w:p>
    <w:p w14:paraId="526E2C7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 竣工验收</w:t>
      </w:r>
    </w:p>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p w14:paraId="617D18E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901" w:name="_Toc280868704"/>
      <w:bookmarkStart w:id="902" w:name="_Toc280868705"/>
      <w:bookmarkStart w:id="903" w:name="_Toc280868706"/>
      <w:bookmarkStart w:id="904" w:name="_Toc280868707"/>
      <w:bookmarkStart w:id="905" w:name="_Toc280868708"/>
      <w:bookmarkStart w:id="906" w:name="_Toc280868709"/>
      <w:r>
        <w:rPr>
          <w:rFonts w:hint="eastAsia" w:ascii="宋体" w:hAnsi="宋体" w:eastAsia="宋体" w:cs="宋体"/>
          <w:color w:val="auto"/>
          <w:sz w:val="24"/>
          <w:szCs w:val="24"/>
          <w:highlight w:val="none"/>
        </w:rPr>
        <w:t>13.2.2竣工验收程序</w:t>
      </w:r>
      <w:bookmarkEnd w:id="901"/>
    </w:p>
    <w:p w14:paraId="47B21E9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关于竣工验收程序的约定：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91902DC">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发包人不按照本项约定组织竣工验收、颁发工程接收证书的违约金的计算方法：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902"/>
    <w:p w14:paraId="16EB324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13.2.5移交、接收全部与部分工程</w:t>
      </w:r>
    </w:p>
    <w:bookmarkEnd w:id="903"/>
    <w:p w14:paraId="4A801ED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承包人向发包人移交工程的期限：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29B684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发包人未按本合同约定接收全部或部分工程的，违约金的计算方法为：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904"/>
    <w:p w14:paraId="60C931E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承包人未按时移交工程的，违约金的计算方法为：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573CC0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 工程试车</w:t>
      </w:r>
    </w:p>
    <w:bookmarkEnd w:id="905"/>
    <w:p w14:paraId="5FB1C925">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13.3.1 试车程序</w:t>
      </w:r>
    </w:p>
    <w:p w14:paraId="1E25F1FC">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工程试车内容：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4B985CF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（1）单机无负荷试车费用由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承担；</w:t>
      </w:r>
    </w:p>
    <w:p w14:paraId="0AE6C3C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（2）无负荷联动试车费用由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承担。</w:t>
      </w:r>
    </w:p>
    <w:p w14:paraId="20D6E1B1">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13.3.3 投料试车</w:t>
      </w:r>
    </w:p>
    <w:p w14:paraId="272673D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关于投料试车相关事项的约定：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Start w:id="907" w:name="_Toc25370"/>
      <w:bookmarkStart w:id="908" w:name="_Toc8923"/>
      <w:bookmarkStart w:id="909" w:name="_Toc18780"/>
      <w:bookmarkStart w:id="910" w:name="_Toc22473"/>
      <w:bookmarkStart w:id="911" w:name="_Toc22625"/>
      <w:bookmarkStart w:id="912" w:name="_Toc29114"/>
      <w:bookmarkStart w:id="913" w:name="_Toc27950"/>
      <w:bookmarkStart w:id="914" w:name="_Toc24519"/>
      <w:bookmarkStart w:id="915" w:name="_Toc25872"/>
      <w:bookmarkStart w:id="916" w:name="_Toc25539"/>
      <w:bookmarkStart w:id="917" w:name="_Toc13461"/>
      <w:bookmarkStart w:id="918" w:name="_Toc28640"/>
      <w:bookmarkStart w:id="919" w:name="_Toc7215"/>
      <w:bookmarkStart w:id="920" w:name="_Toc24765"/>
    </w:p>
    <w:p w14:paraId="39539C58">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13.6 竣工退场</w:t>
      </w:r>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p>
    <w:p w14:paraId="35EF81A8">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13.6.1 竣工退场</w:t>
      </w:r>
    </w:p>
    <w:p w14:paraId="37AAE431">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承包人完成竣工退场的期限：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w:t>
      </w:r>
    </w:p>
    <w:p w14:paraId="0AA03E75">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921" w:name="_Toc21097"/>
      <w:r>
        <w:rPr>
          <w:rFonts w:hint="eastAsia" w:ascii="宋体" w:hAnsi="宋体" w:eastAsia="宋体" w:cs="宋体"/>
          <w:b/>
          <w:bCs w:val="0"/>
          <w:color w:val="auto"/>
          <w:sz w:val="24"/>
          <w:szCs w:val="24"/>
          <w:highlight w:val="none"/>
        </w:rPr>
        <w:t>14. 竣工结算</w:t>
      </w:r>
      <w:bookmarkEnd w:id="921"/>
    </w:p>
    <w:p w14:paraId="5B7FA12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14.1 竣</w:t>
      </w:r>
      <w:r>
        <w:rPr>
          <w:rFonts w:hint="eastAsia" w:ascii="宋体" w:hAnsi="宋体" w:eastAsia="宋体" w:cs="宋体"/>
          <w:color w:val="auto"/>
          <w:kern w:val="0"/>
          <w:sz w:val="24"/>
          <w:szCs w:val="24"/>
          <w:highlight w:val="none"/>
        </w:rPr>
        <w:t>工结算申请</w:t>
      </w:r>
    </w:p>
    <w:p w14:paraId="4820F30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承包人提交竣</w:t>
      </w:r>
      <w:r>
        <w:rPr>
          <w:rFonts w:hint="eastAsia" w:ascii="宋体" w:hAnsi="宋体" w:eastAsia="宋体" w:cs="宋体"/>
          <w:color w:val="auto"/>
          <w:sz w:val="24"/>
          <w:szCs w:val="24"/>
          <w:highlight w:val="none"/>
        </w:rPr>
        <w:t>工结算申请单的期限：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B5DF9A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竣工结算申请单应包括的内容：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62BC5B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bookmarkStart w:id="922" w:name="_Toc24871"/>
      <w:bookmarkStart w:id="923" w:name="_Toc13415"/>
      <w:bookmarkStart w:id="924" w:name="_Toc3753"/>
      <w:bookmarkStart w:id="925" w:name="_Toc10720"/>
      <w:bookmarkStart w:id="926" w:name="_Toc8876"/>
      <w:bookmarkStart w:id="927" w:name="_Toc26470"/>
      <w:bookmarkStart w:id="928" w:name="_Toc22694"/>
      <w:bookmarkStart w:id="929" w:name="_Toc23676"/>
      <w:bookmarkStart w:id="930" w:name="_Toc28615"/>
      <w:bookmarkStart w:id="931" w:name="_Toc30680"/>
      <w:bookmarkStart w:id="932" w:name="_Toc8593"/>
      <w:bookmarkStart w:id="933" w:name="_Toc15951"/>
      <w:bookmarkStart w:id="934" w:name="_Toc32067"/>
      <w:bookmarkStart w:id="935" w:name="_Toc15941"/>
      <w:r>
        <w:rPr>
          <w:rFonts w:hint="eastAsia" w:ascii="宋体" w:hAnsi="宋体" w:eastAsia="宋体" w:cs="宋体"/>
          <w:color w:val="auto"/>
          <w:sz w:val="24"/>
          <w:szCs w:val="24"/>
          <w:highlight w:val="none"/>
        </w:rPr>
        <w:t>14.2 竣工结</w:t>
      </w:r>
      <w:r>
        <w:rPr>
          <w:rFonts w:hint="eastAsia" w:ascii="宋体" w:hAnsi="宋体" w:eastAsia="宋体" w:cs="宋体"/>
          <w:color w:val="auto"/>
          <w:kern w:val="0"/>
          <w:sz w:val="24"/>
          <w:szCs w:val="24"/>
          <w:highlight w:val="none"/>
        </w:rPr>
        <w:t>算审核</w:t>
      </w:r>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14:paraId="5E3F112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发包人审批竣</w:t>
      </w:r>
      <w:r>
        <w:rPr>
          <w:rFonts w:hint="eastAsia" w:ascii="宋体" w:hAnsi="宋体" w:eastAsia="宋体" w:cs="宋体"/>
          <w:color w:val="auto"/>
          <w:sz w:val="24"/>
          <w:szCs w:val="24"/>
          <w:highlight w:val="none"/>
        </w:rPr>
        <w:t>工付款申请单的期限：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356A76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发包人完成竣工付款的期限：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E29DC4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关于竣工付款证书异议部分复核的方式和程序：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09BEC54">
      <w:pPr>
        <w:pageBreakBefore w:val="0"/>
        <w:widowControl w:val="0"/>
        <w:kinsoku/>
        <w:wordWrap/>
        <w:overflowPunct/>
        <w:topLinePunct w:val="0"/>
        <w:bidi w:val="0"/>
        <w:snapToGrid/>
        <w:spacing w:line="380" w:lineRule="exact"/>
        <w:ind w:firstLine="482" w:firstLineChars="200"/>
        <w:jc w:val="left"/>
        <w:textAlignment w:val="auto"/>
        <w:rPr>
          <w:rFonts w:hint="eastAsia" w:ascii="宋体" w:hAnsi="宋体" w:eastAsia="宋体" w:cs="宋体"/>
          <w:b/>
          <w:bCs/>
          <w:color w:val="auto"/>
          <w:sz w:val="24"/>
          <w:szCs w:val="24"/>
          <w:highlight w:val="none"/>
          <w:u w:val="none"/>
          <w:lang w:val="en-US" w:eastAsia="zh-CN"/>
        </w:rPr>
      </w:pPr>
      <w:r>
        <w:rPr>
          <w:rFonts w:hint="eastAsia" w:ascii="宋体" w:hAnsi="宋体" w:eastAsia="宋体" w:cs="宋体"/>
          <w:b/>
          <w:bCs/>
          <w:color w:val="auto"/>
          <w:sz w:val="24"/>
          <w:szCs w:val="24"/>
          <w:highlight w:val="none"/>
          <w:u w:val="none"/>
          <w:lang w:val="en-US" w:eastAsia="zh-CN"/>
        </w:rPr>
        <w:t>补充：（1）发包人、承包人双方应遵守诚实守信原则，杜绝高估冒算。</w:t>
      </w:r>
    </w:p>
    <w:p w14:paraId="28A76E35">
      <w:pPr>
        <w:pageBreakBefore w:val="0"/>
        <w:widowControl w:val="0"/>
        <w:kinsoku/>
        <w:wordWrap/>
        <w:overflowPunct/>
        <w:topLinePunct w:val="0"/>
        <w:bidi w:val="0"/>
        <w:snapToGrid/>
        <w:spacing w:line="380" w:lineRule="exact"/>
        <w:ind w:firstLine="482" w:firstLineChars="200"/>
        <w:jc w:val="left"/>
        <w:textAlignment w:val="auto"/>
        <w:rPr>
          <w:rFonts w:hint="eastAsia"/>
        </w:rPr>
      </w:pPr>
      <w:r>
        <w:rPr>
          <w:rFonts w:hint="eastAsia" w:ascii="宋体" w:hAnsi="宋体" w:eastAsia="宋体" w:cs="宋体"/>
          <w:b/>
          <w:bCs/>
          <w:color w:val="auto"/>
          <w:sz w:val="24"/>
          <w:szCs w:val="24"/>
          <w:highlight w:val="none"/>
          <w:u w:val="none"/>
          <w:lang w:val="en-US" w:eastAsia="zh-CN"/>
        </w:rPr>
        <w:t>（2）在对工程竣工结算审核时，因承包人违规计算而导致工程造价审减金额超过结算价5%的，超出部分所产生的审计服务效益费（核减额）由承包人自行承担，并提请有关部门进行诚信告诫提醒。</w:t>
      </w:r>
    </w:p>
    <w:p w14:paraId="497727D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 最终结清</w:t>
      </w:r>
    </w:p>
    <w:p w14:paraId="5BE1238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14.4.1 最终结清申请单</w:t>
      </w:r>
    </w:p>
    <w:p w14:paraId="694D6A02">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承包人提交最</w:t>
      </w:r>
      <w:r>
        <w:rPr>
          <w:rFonts w:hint="eastAsia" w:ascii="宋体" w:hAnsi="宋体" w:eastAsia="宋体" w:cs="宋体"/>
          <w:color w:val="auto"/>
          <w:kern w:val="0"/>
          <w:sz w:val="24"/>
          <w:szCs w:val="24"/>
          <w:highlight w:val="none"/>
        </w:rPr>
        <w:t>终结清申请单的份数：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657E20B">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承包人提交最终结算申请单的期限：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6F46EF7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14.4.2 最终结清证书和支付</w:t>
      </w:r>
    </w:p>
    <w:p w14:paraId="5B67A40C">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（1）发包人完成最终结清申请单的审批并颁发最终结清证书的期限：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99026D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（2）发包人完成支付的期限：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894"/>
    <w:bookmarkEnd w:id="895"/>
    <w:bookmarkEnd w:id="896"/>
    <w:bookmarkEnd w:id="897"/>
    <w:bookmarkEnd w:id="898"/>
    <w:bookmarkEnd w:id="899"/>
    <w:bookmarkEnd w:id="900"/>
    <w:bookmarkEnd w:id="906"/>
    <w:p w14:paraId="69C7E5CB">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936" w:name="_Toc25755"/>
      <w:bookmarkStart w:id="937" w:name="_Toc267251483"/>
      <w:bookmarkStart w:id="938" w:name="_Toc267251484"/>
      <w:bookmarkStart w:id="939" w:name="_Toc267251482"/>
      <w:bookmarkStart w:id="940" w:name="_Toc267251485"/>
      <w:bookmarkStart w:id="941" w:name="_Toc267251488"/>
      <w:bookmarkStart w:id="942" w:name="_Toc267251486"/>
      <w:bookmarkStart w:id="943" w:name="_Toc267251489"/>
      <w:bookmarkStart w:id="944" w:name="_Toc267251490"/>
      <w:bookmarkStart w:id="945" w:name="_Toc267251493"/>
      <w:bookmarkStart w:id="946" w:name="_Toc267251503"/>
      <w:bookmarkStart w:id="947" w:name="_Toc267251491"/>
      <w:bookmarkStart w:id="948" w:name="_Toc267251499"/>
      <w:bookmarkStart w:id="949" w:name="_Toc267251498"/>
      <w:bookmarkStart w:id="950" w:name="_Toc267251497"/>
      <w:bookmarkStart w:id="951" w:name="_Toc267251492"/>
      <w:bookmarkStart w:id="952" w:name="_Toc267251496"/>
      <w:bookmarkStart w:id="953" w:name="_Toc267251494"/>
      <w:bookmarkStart w:id="954" w:name="_Toc267251502"/>
      <w:bookmarkStart w:id="955" w:name="_Toc267251495"/>
      <w:bookmarkStart w:id="956" w:name="_Toc267251501"/>
      <w:bookmarkStart w:id="957" w:name="_Toc267251506"/>
      <w:bookmarkStart w:id="958" w:name="_Toc267251504"/>
      <w:bookmarkStart w:id="959" w:name="_Toc267251507"/>
      <w:bookmarkStart w:id="960" w:name="_Toc267251508"/>
      <w:bookmarkStart w:id="961" w:name="_Toc267251513"/>
      <w:bookmarkStart w:id="962" w:name="_Toc267251514"/>
      <w:bookmarkStart w:id="963" w:name="_Toc267251509"/>
      <w:bookmarkStart w:id="964" w:name="_Toc267251515"/>
      <w:bookmarkStart w:id="965" w:name="_Toc267251510"/>
      <w:bookmarkStart w:id="966" w:name="_Toc267251511"/>
      <w:r>
        <w:rPr>
          <w:rFonts w:hint="eastAsia" w:ascii="宋体" w:hAnsi="宋体" w:eastAsia="宋体" w:cs="宋体"/>
          <w:b/>
          <w:bCs w:val="0"/>
          <w:color w:val="auto"/>
          <w:sz w:val="24"/>
          <w:szCs w:val="24"/>
          <w:highlight w:val="none"/>
        </w:rPr>
        <w:t>15. 缺陷责任期与保修</w:t>
      </w:r>
      <w:bookmarkEnd w:id="936"/>
    </w:p>
    <w:p w14:paraId="3BD423C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15.2缺陷责任期</w:t>
      </w:r>
      <w:bookmarkEnd w:id="937"/>
    </w:p>
    <w:p w14:paraId="0C7A962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缺陷责任期的具体期限：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9A9EED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967" w:name="_Toc4105"/>
      <w:bookmarkStart w:id="968" w:name="_Toc4046"/>
      <w:bookmarkStart w:id="969" w:name="_Toc31410"/>
      <w:bookmarkStart w:id="970" w:name="_Toc11947"/>
      <w:bookmarkStart w:id="971" w:name="_Toc24517"/>
      <w:bookmarkStart w:id="972" w:name="_Toc25526"/>
      <w:bookmarkStart w:id="973" w:name="_Toc23575"/>
      <w:bookmarkStart w:id="974" w:name="_Toc1154"/>
      <w:bookmarkStart w:id="975" w:name="_Toc28321"/>
      <w:bookmarkStart w:id="976" w:name="_Toc24799"/>
      <w:bookmarkStart w:id="977" w:name="_Toc25829"/>
      <w:bookmarkStart w:id="978" w:name="_Toc13855"/>
      <w:r>
        <w:rPr>
          <w:rFonts w:hint="eastAsia" w:ascii="宋体" w:hAnsi="宋体" w:eastAsia="宋体" w:cs="宋体"/>
          <w:color w:val="auto"/>
          <w:sz w:val="24"/>
          <w:szCs w:val="24"/>
          <w:highlight w:val="none"/>
        </w:rPr>
        <w:t>15.3 质量保证金</w:t>
      </w:r>
      <w:bookmarkEnd w:id="967"/>
      <w:bookmarkEnd w:id="968"/>
      <w:bookmarkEnd w:id="969"/>
      <w:bookmarkEnd w:id="970"/>
      <w:bookmarkEnd w:id="971"/>
      <w:bookmarkEnd w:id="972"/>
      <w:bookmarkEnd w:id="973"/>
      <w:bookmarkEnd w:id="974"/>
      <w:bookmarkEnd w:id="975"/>
      <w:bookmarkEnd w:id="976"/>
      <w:bookmarkEnd w:id="977"/>
      <w:bookmarkEnd w:id="978"/>
    </w:p>
    <w:p w14:paraId="2CD3BA9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关于是否扣留质量保证金的约定：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。在工程项目竣工前，承包人按专用合同条款第3.7条提供履约担保的，发包人不得同时预留工程质量保证金。</w:t>
      </w:r>
    </w:p>
    <w:p w14:paraId="042D5950">
      <w:pPr>
        <w:pageBreakBefore w:val="0"/>
        <w:widowControl w:val="0"/>
        <w:kinsoku/>
        <w:wordWrap/>
        <w:overflowPunct/>
        <w:topLinePunct w:val="0"/>
        <w:bidi w:val="0"/>
        <w:snapToGrid/>
        <w:spacing w:line="380" w:lineRule="exact"/>
        <w:ind w:firstLine="480" w:firstLineChars="200"/>
        <w:jc w:val="left"/>
        <w:textAlignment w:val="auto"/>
        <w:outlineLvl w:val="0"/>
        <w:rPr>
          <w:rFonts w:hint="eastAsia" w:ascii="宋体" w:hAnsi="宋体" w:eastAsia="宋体" w:cs="宋体"/>
          <w:color w:val="auto"/>
          <w:sz w:val="24"/>
          <w:szCs w:val="24"/>
          <w:highlight w:val="none"/>
        </w:rPr>
      </w:pPr>
      <w:bookmarkStart w:id="979" w:name="_Toc26328"/>
      <w:bookmarkStart w:id="980" w:name="_Toc20656"/>
      <w:bookmarkStart w:id="981" w:name="_Toc9332"/>
      <w:bookmarkStart w:id="982" w:name="_Toc29126"/>
      <w:bookmarkStart w:id="983" w:name="_Toc13801"/>
      <w:bookmarkStart w:id="984" w:name="_Toc15800"/>
      <w:bookmarkStart w:id="985" w:name="_Toc1878"/>
      <w:bookmarkStart w:id="986" w:name="_Toc6411"/>
      <w:bookmarkStart w:id="987" w:name="_Toc14181"/>
      <w:bookmarkStart w:id="988" w:name="_Toc21550"/>
      <w:bookmarkStart w:id="989" w:name="_Toc22010"/>
      <w:bookmarkStart w:id="990" w:name="_Toc28190"/>
      <w:bookmarkStart w:id="991" w:name="_Toc14085"/>
      <w:bookmarkStart w:id="992" w:name="_Toc14213"/>
      <w:bookmarkStart w:id="993" w:name="_Toc20853"/>
      <w:r>
        <w:rPr>
          <w:rFonts w:hint="eastAsia" w:ascii="宋体" w:hAnsi="宋体" w:eastAsia="宋体" w:cs="宋体"/>
          <w:color w:val="auto"/>
          <w:sz w:val="24"/>
          <w:szCs w:val="24"/>
          <w:highlight w:val="none"/>
        </w:rPr>
        <w:t>15.3.1 承包人提供质量保证金的方式</w:t>
      </w:r>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p>
    <w:p w14:paraId="75D1A964">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质量保证金采用以下第</w:t>
      </w:r>
      <w:r>
        <w:rPr>
          <w:rFonts w:hint="eastAsia" w:ascii="宋体" w:hAnsi="宋体" w:eastAsia="宋体" w:cs="宋体"/>
          <w:color w:val="auto"/>
          <w:sz w:val="24"/>
          <w:szCs w:val="24"/>
          <w:highlight w:val="none"/>
          <w:u w:val="none"/>
        </w:rPr>
        <w:t xml:space="preserve"> </w:t>
      </w:r>
      <w:r>
        <w:rPr>
          <w:rFonts w:hint="eastAsia" w:ascii="宋体" w:hAnsi="宋体" w:eastAsia="宋体" w:cs="宋体"/>
          <w:color w:val="auto"/>
          <w:kern w:val="0"/>
          <w:sz w:val="24"/>
          <w:szCs w:val="24"/>
          <w:highlight w:val="none"/>
          <w:u w:val="single"/>
        </w:rPr>
        <w:t>（2）</w:t>
      </w:r>
      <w:r>
        <w:rPr>
          <w:rFonts w:hint="eastAsia" w:ascii="宋体" w:hAnsi="宋体" w:eastAsia="宋体" w:cs="宋体"/>
          <w:color w:val="auto"/>
          <w:sz w:val="24"/>
          <w:szCs w:val="24"/>
          <w:highlight w:val="none"/>
        </w:rPr>
        <w:t>种方式：</w:t>
      </w:r>
    </w:p>
    <w:p w14:paraId="0274AB5F">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（1）质量保证金保函，保证金额为：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14:paraId="5EA1DB3F">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3</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%的工程款；</w:t>
      </w:r>
    </w:p>
    <w:p w14:paraId="64C60023">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54AD74A5">
      <w:pPr>
        <w:pageBreakBefore w:val="0"/>
        <w:widowControl w:val="0"/>
        <w:kinsoku/>
        <w:wordWrap/>
        <w:overflowPunct/>
        <w:topLinePunct w:val="0"/>
        <w:bidi w:val="0"/>
        <w:snapToGrid/>
        <w:spacing w:line="380" w:lineRule="exact"/>
        <w:ind w:firstLine="480" w:firstLineChars="200"/>
        <w:jc w:val="left"/>
        <w:textAlignment w:val="auto"/>
        <w:outlineLvl w:val="0"/>
        <w:rPr>
          <w:rFonts w:hint="eastAsia" w:ascii="宋体" w:hAnsi="宋体" w:eastAsia="宋体" w:cs="宋体"/>
          <w:color w:val="auto"/>
          <w:sz w:val="24"/>
          <w:szCs w:val="24"/>
          <w:highlight w:val="none"/>
        </w:rPr>
      </w:pPr>
      <w:bookmarkStart w:id="994" w:name="_Toc26372"/>
      <w:bookmarkStart w:id="995" w:name="_Toc3790"/>
      <w:bookmarkStart w:id="996" w:name="_Toc30361"/>
      <w:bookmarkStart w:id="997" w:name="_Toc25429"/>
      <w:bookmarkStart w:id="998" w:name="_Toc12852"/>
      <w:bookmarkStart w:id="999" w:name="_Toc28785"/>
      <w:bookmarkStart w:id="1000" w:name="_Toc31283"/>
      <w:bookmarkStart w:id="1001" w:name="_Toc1874"/>
      <w:bookmarkStart w:id="1002" w:name="_Toc32043"/>
      <w:bookmarkStart w:id="1003" w:name="_Toc29985"/>
      <w:bookmarkStart w:id="1004" w:name="_Toc22306"/>
      <w:bookmarkStart w:id="1005" w:name="_Toc6031"/>
      <w:bookmarkStart w:id="1006" w:name="_Toc29417"/>
      <w:bookmarkStart w:id="1007" w:name="_Toc22715"/>
      <w:bookmarkStart w:id="1008" w:name="_Toc2515"/>
      <w:r>
        <w:rPr>
          <w:rFonts w:hint="eastAsia" w:ascii="宋体" w:hAnsi="宋体" w:eastAsia="宋体" w:cs="宋体"/>
          <w:color w:val="auto"/>
          <w:sz w:val="24"/>
          <w:szCs w:val="24"/>
          <w:highlight w:val="none"/>
        </w:rPr>
        <w:t>15.3.2 质量保证金的扣留</w:t>
      </w:r>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r>
        <w:rPr>
          <w:rFonts w:hint="eastAsia" w:ascii="宋体" w:hAnsi="宋体" w:eastAsia="宋体" w:cs="宋体"/>
          <w:color w:val="auto"/>
          <w:sz w:val="24"/>
          <w:szCs w:val="24"/>
          <w:highlight w:val="none"/>
        </w:rPr>
        <w:t xml:space="preserve"> </w:t>
      </w:r>
    </w:p>
    <w:p w14:paraId="2C4623F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质量保证金的扣留采取以下第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w:t>
      </w:r>
    </w:p>
    <w:p w14:paraId="0C10EB5B">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（1）在支付工程进度款时逐次扣留，在此情形下，质量保证金的计算基数不包括预付款的支付、扣回以及价格调整的金额；</w:t>
      </w:r>
    </w:p>
    <w:p w14:paraId="511CAF9F">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outlineLvl w:val="0"/>
        <w:rPr>
          <w:rFonts w:hint="eastAsia" w:ascii="宋体" w:hAnsi="宋体" w:eastAsia="宋体" w:cs="宋体"/>
          <w:color w:val="auto"/>
          <w:kern w:val="0"/>
          <w:sz w:val="24"/>
          <w:szCs w:val="24"/>
          <w:highlight w:val="none"/>
        </w:rPr>
      </w:pPr>
      <w:bookmarkStart w:id="1009" w:name="_Toc12885"/>
      <w:bookmarkStart w:id="1010" w:name="_Toc4403"/>
      <w:bookmarkStart w:id="1011" w:name="_Toc32749"/>
      <w:bookmarkStart w:id="1012" w:name="_Toc20407"/>
      <w:bookmarkStart w:id="1013" w:name="_Toc15758"/>
      <w:bookmarkStart w:id="1014" w:name="_Toc30777"/>
      <w:bookmarkStart w:id="1015" w:name="_Toc21347"/>
      <w:bookmarkStart w:id="1016" w:name="_Toc26984"/>
      <w:bookmarkStart w:id="1017" w:name="_Toc2050"/>
      <w:bookmarkStart w:id="1018" w:name="_Toc15428"/>
      <w:bookmarkStart w:id="1019" w:name="_Toc14399"/>
      <w:bookmarkStart w:id="1020" w:name="_Toc17354"/>
      <w:bookmarkStart w:id="1021" w:name="_Toc11975"/>
      <w:bookmarkStart w:id="1022" w:name="_Toc13226"/>
      <w:bookmarkStart w:id="1023" w:name="_Toc23848"/>
      <w:r>
        <w:rPr>
          <w:rFonts w:hint="eastAsia" w:ascii="宋体" w:hAnsi="宋体" w:eastAsia="宋体" w:cs="宋体"/>
          <w:color w:val="auto"/>
          <w:kern w:val="0"/>
          <w:sz w:val="24"/>
          <w:szCs w:val="24"/>
          <w:highlight w:val="none"/>
        </w:rPr>
        <w:t>（2）工程竣工结算时一次性扣留质量保证金；</w:t>
      </w:r>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p>
    <w:p w14:paraId="7FB4EE1E">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（3）其他扣留方式: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73295FF9">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关于质量保证金的补充约定：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bookmarkEnd w:id="938"/>
    <w:bookmarkEnd w:id="939"/>
    <w:p w14:paraId="177E870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15.4保修</w:t>
      </w:r>
    </w:p>
    <w:bookmarkEnd w:id="940"/>
    <w:p w14:paraId="73B8FFC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15.4.1 保修责任</w:t>
      </w:r>
    </w:p>
    <w:p w14:paraId="7112DAB4">
      <w:pPr>
        <w:pageBreakBefore w:val="0"/>
        <w:widowControl w:val="0"/>
        <w:kinsoku/>
        <w:wordWrap/>
        <w:overflowPunct/>
        <w:topLinePunct w:val="0"/>
        <w:bidi w:val="0"/>
        <w:snapToGrid/>
        <w:spacing w:line="380" w:lineRule="exact"/>
        <w:ind w:firstLine="468" w:firstLineChars="195"/>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工程保修期为：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A992955">
      <w:pPr>
        <w:pageBreakBefore w:val="0"/>
        <w:widowControl w:val="0"/>
        <w:kinsoku/>
        <w:wordWrap/>
        <w:overflowPunct/>
        <w:topLinePunct w:val="0"/>
        <w:bidi w:val="0"/>
        <w:snapToGrid/>
        <w:spacing w:line="380" w:lineRule="exact"/>
        <w:ind w:firstLine="468" w:firstLineChars="19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15.4.3 修复通知</w:t>
      </w:r>
    </w:p>
    <w:p w14:paraId="04A50C4F">
      <w:pPr>
        <w:pageBreakBefore w:val="0"/>
        <w:widowControl w:val="0"/>
        <w:kinsoku/>
        <w:wordWrap/>
        <w:overflowPunct/>
        <w:topLinePunct w:val="0"/>
        <w:bidi w:val="0"/>
        <w:snapToGrid/>
        <w:spacing w:line="380" w:lineRule="exact"/>
        <w:ind w:firstLine="468" w:firstLineChars="195"/>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承包人收到保修通知并到达工程现场的合理时间：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bookmarkEnd w:id="941"/>
    <w:bookmarkEnd w:id="942"/>
    <w:bookmarkEnd w:id="943"/>
    <w:bookmarkEnd w:id="944"/>
    <w:p w14:paraId="3F771083">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024" w:name="_Toc18810"/>
      <w:bookmarkStart w:id="1025" w:name="_Toc280868717"/>
      <w:bookmarkStart w:id="1026" w:name="_Toc280868718"/>
      <w:r>
        <w:rPr>
          <w:rFonts w:hint="eastAsia" w:ascii="宋体" w:hAnsi="宋体" w:eastAsia="宋体" w:cs="宋体"/>
          <w:b/>
          <w:bCs w:val="0"/>
          <w:color w:val="auto"/>
          <w:sz w:val="24"/>
          <w:szCs w:val="24"/>
          <w:highlight w:val="none"/>
        </w:rPr>
        <w:t>16. 违约</w:t>
      </w:r>
      <w:bookmarkEnd w:id="1024"/>
    </w:p>
    <w:p w14:paraId="144F0D7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1027" w:name="_Toc14819"/>
      <w:bookmarkStart w:id="1028" w:name="_Toc19862"/>
      <w:bookmarkStart w:id="1029" w:name="_Toc7617"/>
      <w:bookmarkStart w:id="1030" w:name="_Toc30311"/>
      <w:bookmarkStart w:id="1031" w:name="_Toc4240"/>
      <w:bookmarkStart w:id="1032" w:name="_Toc12817"/>
      <w:bookmarkStart w:id="1033" w:name="_Toc22858"/>
      <w:bookmarkStart w:id="1034" w:name="_Toc6859"/>
      <w:bookmarkStart w:id="1035" w:name="_Toc25584"/>
      <w:bookmarkStart w:id="1036" w:name="_Toc20324"/>
      <w:bookmarkStart w:id="1037" w:name="_Toc586"/>
      <w:bookmarkStart w:id="1038" w:name="_Toc17194"/>
      <w:bookmarkStart w:id="1039" w:name="_Toc16423"/>
      <w:r>
        <w:rPr>
          <w:rFonts w:hint="eastAsia" w:ascii="宋体" w:hAnsi="宋体" w:eastAsia="宋体" w:cs="宋体"/>
          <w:color w:val="auto"/>
          <w:sz w:val="24"/>
          <w:szCs w:val="24"/>
          <w:highlight w:val="none"/>
        </w:rPr>
        <w:t>16.1 发包人违约</w:t>
      </w:r>
      <w:bookmarkEnd w:id="1027"/>
      <w:bookmarkEnd w:id="1028"/>
      <w:bookmarkEnd w:id="1029"/>
      <w:bookmarkEnd w:id="1030"/>
      <w:bookmarkEnd w:id="1031"/>
      <w:bookmarkEnd w:id="1032"/>
      <w:bookmarkEnd w:id="1033"/>
      <w:bookmarkEnd w:id="1034"/>
      <w:bookmarkEnd w:id="1035"/>
      <w:bookmarkEnd w:id="1036"/>
      <w:bookmarkEnd w:id="1037"/>
      <w:bookmarkEnd w:id="1038"/>
      <w:bookmarkEnd w:id="1039"/>
    </w:p>
    <w:p w14:paraId="43D5150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16.1.1发包人违约的情形</w:t>
      </w:r>
    </w:p>
    <w:p w14:paraId="5F540E2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发包人违约的其他情形：</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7FC50249">
      <w:pPr>
        <w:pageBreakBefore w:val="0"/>
        <w:widowControl w:val="0"/>
        <w:kinsoku/>
        <w:wordWrap/>
        <w:overflowPunct/>
        <w:topLinePunct w:val="0"/>
        <w:bidi w:val="0"/>
        <w:snapToGrid/>
        <w:spacing w:line="380" w:lineRule="exact"/>
        <w:ind w:left="1495" w:leftChars="228" w:hanging="720" w:hangingChars="3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16.1.2 发包人违约的责任</w:t>
      </w:r>
    </w:p>
    <w:p w14:paraId="6CB847C5">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发包人违约责任的承担方式和计算方法：</w:t>
      </w:r>
    </w:p>
    <w:p w14:paraId="1A973BF0">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（1）因发包人原因未能在计划开工日期前7天内下达开工通知的违约责任：</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w:t>
      </w:r>
    </w:p>
    <w:p w14:paraId="6B583C2E">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（2）因发包人原因未能按合同约定支付合同价款的违约责任：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26C967C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（3）发包人违反第10.1款〔变更的范围〕第（2）项约定，自行实施被取消的工作或转由他人实施的违约责任：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2F7DA5B8">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（4）发包人提供的材料、工程设备的规格、数量或质量不符合合同约定，或因发包人原因导致交货日期延误或交货地点变更等情况的违约责任：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CA063B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（5）因发包人违反合同约定造成暂停施工的违约责任：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29164108">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（6）发包人无正当理由没有在约定期限内发出复工指示，导致承包人无法复工的违约责任：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7CB09C6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（7）其他：</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7E15D895">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16.1.3 因发包人违约解除合同</w:t>
      </w:r>
    </w:p>
    <w:p w14:paraId="0A5ED7C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承包人按16.1.1项〔发包人违约的情形〕约定暂停施工满</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天后发包人仍不纠正其违约行</w:t>
      </w:r>
      <w:r>
        <w:rPr>
          <w:rFonts w:hint="eastAsia" w:ascii="宋体" w:hAnsi="宋体" w:eastAsia="宋体" w:cs="宋体"/>
          <w:color w:val="auto"/>
          <w:sz w:val="24"/>
          <w:szCs w:val="24"/>
          <w:highlight w:val="none"/>
        </w:rPr>
        <w:t>为并致使合同目的不能实现的，承包人有权解除合同。</w:t>
      </w:r>
    </w:p>
    <w:p w14:paraId="49885A5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1040" w:name="_Toc30218"/>
      <w:bookmarkStart w:id="1041" w:name="_Toc23069"/>
      <w:bookmarkStart w:id="1042" w:name="_Toc1823"/>
      <w:bookmarkStart w:id="1043" w:name="_Toc18167"/>
      <w:bookmarkStart w:id="1044" w:name="_Toc5008"/>
      <w:bookmarkStart w:id="1045" w:name="_Toc31084"/>
      <w:bookmarkStart w:id="1046" w:name="_Toc17293"/>
      <w:bookmarkStart w:id="1047" w:name="_Toc18566"/>
      <w:bookmarkStart w:id="1048" w:name="_Toc15750"/>
      <w:bookmarkStart w:id="1049" w:name="_Toc11204"/>
      <w:bookmarkStart w:id="1050" w:name="_Toc910"/>
      <w:bookmarkStart w:id="1051" w:name="_Toc1520"/>
      <w:bookmarkStart w:id="1052" w:name="_Toc24957"/>
      <w:r>
        <w:rPr>
          <w:rFonts w:hint="eastAsia" w:ascii="宋体" w:hAnsi="宋体" w:eastAsia="宋体" w:cs="宋体"/>
          <w:color w:val="auto"/>
          <w:sz w:val="24"/>
          <w:szCs w:val="24"/>
          <w:highlight w:val="none"/>
        </w:rPr>
        <w:t>16.2 承包人违约</w:t>
      </w:r>
      <w:bookmarkEnd w:id="1040"/>
      <w:bookmarkEnd w:id="1041"/>
      <w:bookmarkEnd w:id="1042"/>
      <w:bookmarkEnd w:id="1043"/>
      <w:bookmarkEnd w:id="1044"/>
      <w:bookmarkEnd w:id="1045"/>
      <w:bookmarkEnd w:id="1046"/>
      <w:bookmarkEnd w:id="1047"/>
      <w:bookmarkEnd w:id="1048"/>
      <w:bookmarkEnd w:id="1049"/>
      <w:bookmarkEnd w:id="1050"/>
      <w:bookmarkEnd w:id="1051"/>
      <w:bookmarkEnd w:id="1052"/>
    </w:p>
    <w:p w14:paraId="4ECC2825">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16.2.1 承</w:t>
      </w:r>
      <w:r>
        <w:rPr>
          <w:rFonts w:hint="eastAsia" w:ascii="宋体" w:hAnsi="宋体" w:eastAsia="宋体" w:cs="宋体"/>
          <w:color w:val="auto"/>
          <w:kern w:val="0"/>
          <w:sz w:val="24"/>
          <w:szCs w:val="24"/>
          <w:highlight w:val="none"/>
        </w:rPr>
        <w:t>包人违约的情形</w:t>
      </w:r>
    </w:p>
    <w:p w14:paraId="7F4F0BE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承包人违约的其他情形：</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347FE598">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16.2.2承包人违约的责任</w:t>
      </w:r>
    </w:p>
    <w:p w14:paraId="50B282E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承包人违约责任的承担方式和计算方法：</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5816B52B">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16.2.3 因承包人违约解除合同</w:t>
      </w:r>
    </w:p>
    <w:p w14:paraId="40C4561B">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关于承包人违约解除合同的特别约定：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01B99A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发包人继续使用承包人在施工现场的材料、设备、临时工程、承包人文件和由承包人或以其名义编制的其他文件的费用承担方式：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72B45C1F">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053" w:name="_Toc29924"/>
      <w:r>
        <w:rPr>
          <w:rFonts w:hint="eastAsia" w:ascii="宋体" w:hAnsi="宋体" w:eastAsia="宋体" w:cs="宋体"/>
          <w:b/>
          <w:bCs w:val="0"/>
          <w:color w:val="auto"/>
          <w:sz w:val="24"/>
          <w:szCs w:val="24"/>
          <w:highlight w:val="none"/>
        </w:rPr>
        <w:t>17. 不可抗力</w:t>
      </w:r>
      <w:bookmarkEnd w:id="1053"/>
      <w:r>
        <w:rPr>
          <w:rFonts w:hint="eastAsia" w:ascii="宋体" w:hAnsi="宋体" w:eastAsia="宋体" w:cs="宋体"/>
          <w:b/>
          <w:bCs w:val="0"/>
          <w:color w:val="auto"/>
          <w:sz w:val="24"/>
          <w:szCs w:val="24"/>
          <w:highlight w:val="none"/>
        </w:rPr>
        <w:t xml:space="preserve"> </w:t>
      </w:r>
      <w:bookmarkEnd w:id="1025"/>
    </w:p>
    <w:p w14:paraId="165B2E0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17.1 不可抗</w:t>
      </w:r>
      <w:r>
        <w:rPr>
          <w:rFonts w:hint="eastAsia" w:ascii="宋体" w:hAnsi="宋体" w:eastAsia="宋体" w:cs="宋体"/>
          <w:color w:val="auto"/>
          <w:kern w:val="0"/>
          <w:sz w:val="24"/>
          <w:szCs w:val="24"/>
          <w:highlight w:val="none"/>
        </w:rPr>
        <w:t>力的确认</w:t>
      </w:r>
    </w:p>
    <w:p w14:paraId="7C5932E6">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除通用合同条款</w:t>
      </w:r>
      <w:r>
        <w:rPr>
          <w:rFonts w:hint="eastAsia" w:ascii="宋体" w:hAnsi="宋体" w:eastAsia="宋体" w:cs="宋体"/>
          <w:color w:val="auto"/>
          <w:sz w:val="24"/>
          <w:szCs w:val="24"/>
          <w:highlight w:val="none"/>
        </w:rPr>
        <w:t>约定的不可抗力事件之外，视为不可抗力的其他情形：</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2086286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bookmarkStart w:id="1054" w:name="_Toc7023"/>
      <w:bookmarkStart w:id="1055" w:name="_Toc3686"/>
      <w:bookmarkStart w:id="1056" w:name="_Toc4919"/>
      <w:bookmarkStart w:id="1057" w:name="_Toc1347"/>
      <w:bookmarkStart w:id="1058" w:name="_Toc6330"/>
      <w:bookmarkStart w:id="1059" w:name="_Toc24015"/>
      <w:bookmarkStart w:id="1060" w:name="_Toc27991"/>
      <w:bookmarkStart w:id="1061" w:name="_Toc25211"/>
      <w:bookmarkStart w:id="1062" w:name="_Toc353"/>
      <w:bookmarkStart w:id="1063" w:name="_Toc20329"/>
      <w:bookmarkStart w:id="1064" w:name="_Toc18692"/>
      <w:bookmarkStart w:id="1065" w:name="_Toc556"/>
      <w:r>
        <w:rPr>
          <w:rFonts w:hint="eastAsia" w:ascii="宋体" w:hAnsi="宋体" w:eastAsia="宋体" w:cs="宋体"/>
          <w:color w:val="auto"/>
          <w:sz w:val="24"/>
          <w:szCs w:val="24"/>
          <w:highlight w:val="none"/>
        </w:rPr>
        <w:t>17.4 因不可抗力解除合同</w:t>
      </w:r>
      <w:bookmarkEnd w:id="1054"/>
      <w:bookmarkEnd w:id="1055"/>
      <w:bookmarkEnd w:id="1056"/>
      <w:bookmarkEnd w:id="1057"/>
      <w:bookmarkEnd w:id="1058"/>
      <w:bookmarkEnd w:id="1059"/>
      <w:bookmarkEnd w:id="1060"/>
      <w:bookmarkEnd w:id="1061"/>
      <w:bookmarkEnd w:id="1062"/>
      <w:bookmarkEnd w:id="1063"/>
      <w:bookmarkEnd w:id="1064"/>
      <w:bookmarkEnd w:id="1065"/>
    </w:p>
    <w:p w14:paraId="2E08E348">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合同解除后，发包人应</w:t>
      </w:r>
      <w:r>
        <w:rPr>
          <w:rFonts w:hint="eastAsia" w:ascii="宋体" w:hAnsi="宋体" w:eastAsia="宋体" w:cs="宋体"/>
          <w:color w:val="auto"/>
          <w:sz w:val="24"/>
          <w:szCs w:val="24"/>
          <w:highlight w:val="none"/>
        </w:rPr>
        <w:t>在商定或确定发包人应支付款项后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天内完成款项的支付。</w:t>
      </w:r>
    </w:p>
    <w:p w14:paraId="4682F69F">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066" w:name="_Toc9645"/>
      <w:r>
        <w:rPr>
          <w:rFonts w:hint="eastAsia" w:ascii="宋体" w:hAnsi="宋体" w:eastAsia="宋体" w:cs="宋体"/>
          <w:b/>
          <w:bCs w:val="0"/>
          <w:color w:val="auto"/>
          <w:sz w:val="24"/>
          <w:szCs w:val="24"/>
          <w:highlight w:val="none"/>
        </w:rPr>
        <w:t>18. 保险</w:t>
      </w:r>
      <w:bookmarkEnd w:id="1066"/>
    </w:p>
    <w:bookmarkEnd w:id="1026"/>
    <w:p w14:paraId="48772CD5">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18.1 工</w:t>
      </w:r>
      <w:r>
        <w:rPr>
          <w:rFonts w:hint="eastAsia" w:ascii="宋体" w:hAnsi="宋体" w:eastAsia="宋体" w:cs="宋体"/>
          <w:color w:val="auto"/>
          <w:kern w:val="0"/>
          <w:sz w:val="24"/>
          <w:szCs w:val="24"/>
          <w:highlight w:val="none"/>
        </w:rPr>
        <w:t>程保险</w:t>
      </w:r>
    </w:p>
    <w:p w14:paraId="18C5D1D3">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关于工程</w:t>
      </w:r>
      <w:r>
        <w:rPr>
          <w:rFonts w:hint="eastAsia" w:ascii="宋体" w:hAnsi="宋体" w:eastAsia="宋体" w:cs="宋体"/>
          <w:color w:val="auto"/>
          <w:sz w:val="24"/>
          <w:szCs w:val="24"/>
          <w:highlight w:val="none"/>
        </w:rPr>
        <w:t>保险的特别约定：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2038895C">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bookmarkStart w:id="1067" w:name="_Toc27989"/>
      <w:bookmarkStart w:id="1068" w:name="_Toc30804"/>
      <w:bookmarkStart w:id="1069" w:name="_Toc17474"/>
      <w:bookmarkStart w:id="1070" w:name="_Toc4941"/>
      <w:bookmarkStart w:id="1071" w:name="_Toc23619"/>
      <w:bookmarkStart w:id="1072" w:name="_Toc6269"/>
      <w:bookmarkStart w:id="1073" w:name="_Toc24037"/>
      <w:bookmarkStart w:id="1074" w:name="_Toc17275"/>
      <w:bookmarkStart w:id="1075" w:name="_Toc22724"/>
      <w:bookmarkStart w:id="1076" w:name="_Toc27980"/>
      <w:bookmarkStart w:id="1077" w:name="_Toc12555"/>
      <w:bookmarkStart w:id="1078" w:name="_Toc11140"/>
      <w:bookmarkStart w:id="1079" w:name="_Toc23981"/>
      <w:r>
        <w:rPr>
          <w:rFonts w:hint="eastAsia" w:ascii="宋体" w:hAnsi="宋体" w:eastAsia="宋体" w:cs="宋体"/>
          <w:color w:val="auto"/>
          <w:sz w:val="24"/>
          <w:szCs w:val="24"/>
          <w:highlight w:val="none"/>
        </w:rPr>
        <w:t>18.3 其</w:t>
      </w:r>
      <w:r>
        <w:rPr>
          <w:rFonts w:hint="eastAsia" w:ascii="宋体" w:hAnsi="宋体" w:eastAsia="宋体" w:cs="宋体"/>
          <w:color w:val="auto"/>
          <w:kern w:val="0"/>
          <w:sz w:val="24"/>
          <w:szCs w:val="24"/>
          <w:highlight w:val="none"/>
        </w:rPr>
        <w:t>他保险</w:t>
      </w:r>
      <w:bookmarkEnd w:id="1067"/>
      <w:bookmarkEnd w:id="1068"/>
      <w:bookmarkEnd w:id="1069"/>
      <w:bookmarkEnd w:id="1070"/>
      <w:bookmarkEnd w:id="1071"/>
      <w:bookmarkEnd w:id="1072"/>
      <w:bookmarkEnd w:id="1073"/>
      <w:bookmarkEnd w:id="1074"/>
      <w:bookmarkEnd w:id="1075"/>
      <w:bookmarkEnd w:id="1076"/>
      <w:bookmarkEnd w:id="1077"/>
      <w:bookmarkEnd w:id="1078"/>
      <w:bookmarkEnd w:id="1079"/>
    </w:p>
    <w:p w14:paraId="64DFC9C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关于其他</w:t>
      </w:r>
      <w:r>
        <w:rPr>
          <w:rFonts w:hint="eastAsia" w:ascii="宋体" w:hAnsi="宋体" w:eastAsia="宋体" w:cs="宋体"/>
          <w:color w:val="auto"/>
          <w:sz w:val="24"/>
          <w:szCs w:val="24"/>
          <w:highlight w:val="none"/>
        </w:rPr>
        <w:t>保险的约定：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4F376B8A">
      <w:pPr>
        <w:pageBreakBefore w:val="0"/>
        <w:widowControl w:val="0"/>
        <w:kinsoku/>
        <w:wordWrap/>
        <w:overflowPunct/>
        <w:topLinePunct w:val="0"/>
        <w:bidi w:val="0"/>
        <w:snapToGrid/>
        <w:spacing w:line="380" w:lineRule="exact"/>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承包人是否应为其施工设备等办理财产保险：</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6A08C0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18.7 通</w:t>
      </w:r>
      <w:r>
        <w:rPr>
          <w:rFonts w:hint="eastAsia" w:ascii="宋体" w:hAnsi="宋体" w:eastAsia="宋体" w:cs="宋体"/>
          <w:color w:val="auto"/>
          <w:kern w:val="0"/>
          <w:sz w:val="24"/>
          <w:szCs w:val="24"/>
          <w:highlight w:val="none"/>
        </w:rPr>
        <w:t>知义务</w:t>
      </w:r>
    </w:p>
    <w:p w14:paraId="356EBC3C">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关于变更保险合同时的通知义务的约定：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945"/>
    <w:bookmarkEnd w:id="946"/>
    <w:bookmarkEnd w:id="947"/>
    <w:bookmarkEnd w:id="948"/>
    <w:bookmarkEnd w:id="949"/>
    <w:bookmarkEnd w:id="950"/>
    <w:bookmarkEnd w:id="951"/>
    <w:bookmarkEnd w:id="952"/>
    <w:bookmarkEnd w:id="953"/>
    <w:bookmarkEnd w:id="954"/>
    <w:bookmarkEnd w:id="955"/>
    <w:bookmarkEnd w:id="956"/>
    <w:p w14:paraId="0117C475">
      <w:pPr>
        <w:keepNext w:val="0"/>
        <w:keepLines w:val="0"/>
        <w:pageBreakBefore w:val="0"/>
        <w:kinsoku/>
        <w:wordWrap/>
        <w:overflowPunct/>
        <w:topLinePunct w:val="0"/>
        <w:bidi w:val="0"/>
        <w:snapToGrid/>
        <w:spacing w:line="460" w:lineRule="exact"/>
        <w:textAlignment w:val="auto"/>
        <w:rPr>
          <w:rFonts w:hint="eastAsia" w:ascii="宋体" w:hAnsi="宋体" w:eastAsia="宋体" w:cs="宋体"/>
          <w:b/>
          <w:bCs w:val="0"/>
          <w:color w:val="auto"/>
          <w:sz w:val="24"/>
          <w:szCs w:val="24"/>
          <w:highlight w:val="none"/>
        </w:rPr>
      </w:pPr>
      <w:bookmarkStart w:id="1080" w:name="_Toc25998"/>
      <w:r>
        <w:rPr>
          <w:rFonts w:hint="eastAsia" w:ascii="宋体" w:hAnsi="宋体" w:eastAsia="宋体" w:cs="宋体"/>
          <w:b/>
          <w:bCs w:val="0"/>
          <w:color w:val="auto"/>
          <w:sz w:val="24"/>
          <w:szCs w:val="24"/>
          <w:highlight w:val="none"/>
        </w:rPr>
        <w:t>20. 争议解决</w:t>
      </w:r>
      <w:bookmarkEnd w:id="1080"/>
    </w:p>
    <w:bookmarkEnd w:id="957"/>
    <w:bookmarkEnd w:id="958"/>
    <w:p w14:paraId="06831EA1">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bookmarkStart w:id="1081" w:name="_Toc6863"/>
      <w:bookmarkStart w:id="1082" w:name="_Toc15975"/>
      <w:bookmarkStart w:id="1083" w:name="_Toc28028"/>
      <w:bookmarkStart w:id="1084" w:name="_Toc4200"/>
      <w:bookmarkStart w:id="1085" w:name="_Toc12003"/>
      <w:bookmarkStart w:id="1086" w:name="_Toc14871"/>
      <w:bookmarkStart w:id="1087" w:name="_Toc32414"/>
      <w:bookmarkStart w:id="1088" w:name="_Toc11967"/>
      <w:bookmarkStart w:id="1089" w:name="_Toc19318"/>
      <w:bookmarkStart w:id="1090" w:name="_Toc8914"/>
      <w:bookmarkStart w:id="1091" w:name="_Toc21986"/>
      <w:bookmarkStart w:id="1092" w:name="_Toc13499"/>
      <w:bookmarkStart w:id="1093" w:name="_Toc17235"/>
      <w:r>
        <w:rPr>
          <w:rFonts w:hint="eastAsia" w:ascii="宋体" w:hAnsi="宋体" w:eastAsia="宋体" w:cs="宋体"/>
          <w:color w:val="auto"/>
          <w:sz w:val="24"/>
          <w:szCs w:val="24"/>
          <w:highlight w:val="none"/>
        </w:rPr>
        <w:t>20.3 争</w:t>
      </w:r>
      <w:bookmarkEnd w:id="959"/>
      <w:r>
        <w:rPr>
          <w:rFonts w:hint="eastAsia" w:ascii="宋体" w:hAnsi="宋体" w:eastAsia="宋体" w:cs="宋体"/>
          <w:color w:val="auto"/>
          <w:sz w:val="24"/>
          <w:szCs w:val="24"/>
          <w:highlight w:val="none"/>
        </w:rPr>
        <w:t>议评</w:t>
      </w:r>
      <w:r>
        <w:rPr>
          <w:rFonts w:hint="eastAsia" w:ascii="宋体" w:hAnsi="宋体" w:eastAsia="宋体" w:cs="宋体"/>
          <w:color w:val="auto"/>
          <w:kern w:val="0"/>
          <w:sz w:val="24"/>
          <w:szCs w:val="24"/>
          <w:highlight w:val="none"/>
        </w:rPr>
        <w:t>审</w:t>
      </w:r>
      <w:bookmarkEnd w:id="1081"/>
      <w:bookmarkEnd w:id="1082"/>
      <w:bookmarkEnd w:id="1083"/>
      <w:bookmarkEnd w:id="1084"/>
      <w:bookmarkEnd w:id="1085"/>
      <w:bookmarkEnd w:id="1086"/>
      <w:bookmarkEnd w:id="1087"/>
      <w:bookmarkEnd w:id="1088"/>
      <w:bookmarkEnd w:id="1089"/>
      <w:bookmarkEnd w:id="1090"/>
      <w:bookmarkEnd w:id="1091"/>
      <w:bookmarkEnd w:id="1092"/>
      <w:bookmarkEnd w:id="1093"/>
    </w:p>
    <w:p w14:paraId="05A05C69">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bookmarkStart w:id="1094" w:name="_Toc19025"/>
      <w:bookmarkStart w:id="1095" w:name="_Toc23851"/>
      <w:bookmarkStart w:id="1096" w:name="_Toc2620"/>
      <w:bookmarkStart w:id="1097" w:name="_Toc7734"/>
      <w:bookmarkStart w:id="1098" w:name="_Toc32361"/>
      <w:bookmarkStart w:id="1099" w:name="_Toc23079"/>
      <w:bookmarkStart w:id="1100" w:name="_Toc16725"/>
      <w:bookmarkStart w:id="1101" w:name="_Toc13328"/>
      <w:bookmarkStart w:id="1102" w:name="_Toc9071"/>
      <w:bookmarkStart w:id="1103" w:name="_Toc7962"/>
      <w:bookmarkStart w:id="1104" w:name="_Toc7629"/>
      <w:bookmarkStart w:id="1105" w:name="_Toc25256"/>
      <w:r>
        <w:rPr>
          <w:rFonts w:hint="eastAsia" w:ascii="宋体" w:hAnsi="宋体" w:eastAsia="宋体" w:cs="宋体"/>
          <w:color w:val="auto"/>
          <w:kern w:val="0"/>
          <w:sz w:val="24"/>
          <w:szCs w:val="24"/>
          <w:highlight w:val="none"/>
        </w:rPr>
        <w:t>合同当事人是</w:t>
      </w:r>
      <w:r>
        <w:rPr>
          <w:rFonts w:hint="eastAsia" w:ascii="宋体" w:hAnsi="宋体" w:eastAsia="宋体" w:cs="宋体"/>
          <w:color w:val="auto"/>
          <w:sz w:val="24"/>
          <w:szCs w:val="24"/>
          <w:highlight w:val="none"/>
        </w:rPr>
        <w:t>否同意将工程争议提交争议评审小组决定：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1094"/>
      <w:bookmarkEnd w:id="1095"/>
      <w:bookmarkEnd w:id="1096"/>
      <w:bookmarkEnd w:id="1097"/>
      <w:bookmarkEnd w:id="1098"/>
      <w:bookmarkEnd w:id="1099"/>
      <w:bookmarkEnd w:id="1100"/>
      <w:bookmarkEnd w:id="1101"/>
      <w:bookmarkEnd w:id="1102"/>
      <w:bookmarkEnd w:id="1103"/>
      <w:bookmarkEnd w:id="1104"/>
      <w:bookmarkEnd w:id="1105"/>
    </w:p>
    <w:p w14:paraId="13763A02">
      <w:pPr>
        <w:pageBreakBefore w:val="0"/>
        <w:widowControl w:val="0"/>
        <w:kinsoku/>
        <w:wordWrap/>
        <w:overflowPunct/>
        <w:topLinePunct w:val="0"/>
        <w:bidi w:val="0"/>
        <w:snapToGrid/>
        <w:spacing w:line="380" w:lineRule="exact"/>
        <w:ind w:firstLine="480" w:firstLineChars="200"/>
        <w:jc w:val="left"/>
        <w:textAlignment w:val="auto"/>
        <w:outlineLvl w:val="0"/>
        <w:rPr>
          <w:rFonts w:hint="eastAsia" w:ascii="宋体" w:hAnsi="宋体" w:eastAsia="宋体" w:cs="宋体"/>
          <w:color w:val="auto"/>
          <w:sz w:val="24"/>
          <w:szCs w:val="24"/>
          <w:highlight w:val="none"/>
        </w:rPr>
      </w:pPr>
      <w:bookmarkStart w:id="1106" w:name="_Toc22789"/>
      <w:bookmarkStart w:id="1107" w:name="_Toc10704"/>
      <w:bookmarkStart w:id="1108" w:name="_Toc11895"/>
      <w:bookmarkStart w:id="1109" w:name="_Toc9035"/>
      <w:bookmarkStart w:id="1110" w:name="_Toc2000"/>
      <w:bookmarkStart w:id="1111" w:name="_Toc19935"/>
      <w:bookmarkStart w:id="1112" w:name="_Toc27143"/>
      <w:bookmarkStart w:id="1113" w:name="_Toc14653"/>
      <w:bookmarkStart w:id="1114" w:name="_Toc10363"/>
      <w:bookmarkStart w:id="1115" w:name="_Toc5702"/>
      <w:bookmarkStart w:id="1116" w:name="_Toc5888"/>
      <w:bookmarkStart w:id="1117" w:name="_Toc30058"/>
      <w:bookmarkStart w:id="1118" w:name="_Toc18598"/>
      <w:bookmarkStart w:id="1119" w:name="_Toc22727"/>
      <w:bookmarkStart w:id="1120" w:name="_Toc23308"/>
      <w:r>
        <w:rPr>
          <w:rFonts w:hint="eastAsia" w:ascii="宋体" w:hAnsi="宋体" w:eastAsia="宋体" w:cs="宋体"/>
          <w:color w:val="auto"/>
          <w:sz w:val="24"/>
          <w:szCs w:val="24"/>
          <w:highlight w:val="none"/>
        </w:rPr>
        <w:t>20.3.1 争议评审小组的确定</w:t>
      </w:r>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p>
    <w:p w14:paraId="7A62F26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争议评审小组成员的确定：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20FF1C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选定争议评审员的期限：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CEF560B">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争议评审小组成员的报酬承担方式：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5331757">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其他事项的约定：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A205EE7">
      <w:pPr>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outlineLvl w:val="0"/>
        <w:rPr>
          <w:rFonts w:hint="eastAsia" w:ascii="宋体" w:hAnsi="宋体" w:eastAsia="宋体" w:cs="宋体"/>
          <w:color w:val="auto"/>
          <w:kern w:val="0"/>
          <w:sz w:val="24"/>
          <w:szCs w:val="24"/>
          <w:highlight w:val="none"/>
        </w:rPr>
      </w:pPr>
      <w:bookmarkStart w:id="1121" w:name="_Toc29794"/>
      <w:bookmarkStart w:id="1122" w:name="_Toc202"/>
      <w:bookmarkStart w:id="1123" w:name="_Toc16367"/>
      <w:bookmarkStart w:id="1124" w:name="_Toc8631"/>
      <w:bookmarkStart w:id="1125" w:name="_Toc22237"/>
      <w:bookmarkStart w:id="1126" w:name="_Toc14016"/>
      <w:bookmarkStart w:id="1127" w:name="_Toc1254"/>
      <w:bookmarkStart w:id="1128" w:name="_Toc4967"/>
      <w:bookmarkStart w:id="1129" w:name="_Toc25347"/>
      <w:bookmarkStart w:id="1130" w:name="_Toc31683"/>
      <w:bookmarkStart w:id="1131" w:name="_Toc32506"/>
      <w:bookmarkStart w:id="1132" w:name="_Toc4687"/>
      <w:bookmarkStart w:id="1133" w:name="_Toc7641"/>
      <w:bookmarkStart w:id="1134" w:name="_Toc25208"/>
      <w:bookmarkStart w:id="1135" w:name="_Toc154"/>
      <w:r>
        <w:rPr>
          <w:rFonts w:hint="eastAsia" w:ascii="宋体" w:hAnsi="宋体" w:eastAsia="宋体" w:cs="宋体"/>
          <w:color w:val="auto"/>
          <w:kern w:val="0"/>
          <w:sz w:val="24"/>
          <w:szCs w:val="24"/>
          <w:highlight w:val="none"/>
        </w:rPr>
        <w:t>20.3.2 争议评审小组的决定</w:t>
      </w:r>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p>
    <w:p w14:paraId="1C689DEC">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合同当事人关于本项的约定：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90D5811">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kern w:val="0"/>
          <w:sz w:val="24"/>
          <w:szCs w:val="24"/>
          <w:highlight w:val="none"/>
        </w:rPr>
      </w:pPr>
      <w:bookmarkStart w:id="1136" w:name="_Toc13697"/>
      <w:bookmarkStart w:id="1137" w:name="_Toc22999"/>
      <w:bookmarkStart w:id="1138" w:name="_Toc32479"/>
      <w:bookmarkStart w:id="1139" w:name="_Toc5945"/>
      <w:bookmarkStart w:id="1140" w:name="_Toc21848"/>
      <w:bookmarkStart w:id="1141" w:name="_Toc12635"/>
      <w:bookmarkStart w:id="1142" w:name="_Toc23321"/>
      <w:bookmarkStart w:id="1143" w:name="_Toc29306"/>
      <w:bookmarkStart w:id="1144" w:name="_Toc10240"/>
      <w:bookmarkStart w:id="1145" w:name="_Toc29237"/>
      <w:bookmarkStart w:id="1146" w:name="_Toc18498"/>
      <w:bookmarkStart w:id="1147" w:name="_Toc25248"/>
      <w:bookmarkStart w:id="1148" w:name="_Toc8052"/>
      <w:r>
        <w:rPr>
          <w:rFonts w:hint="eastAsia" w:ascii="宋体" w:hAnsi="宋体" w:eastAsia="宋体" w:cs="宋体"/>
          <w:color w:val="auto"/>
          <w:sz w:val="24"/>
          <w:szCs w:val="24"/>
          <w:highlight w:val="none"/>
        </w:rPr>
        <w:t>20.4仲</w:t>
      </w:r>
      <w:r>
        <w:rPr>
          <w:rFonts w:hint="eastAsia" w:ascii="宋体" w:hAnsi="宋体" w:eastAsia="宋体" w:cs="宋体"/>
          <w:color w:val="auto"/>
          <w:kern w:val="0"/>
          <w:sz w:val="24"/>
          <w:szCs w:val="24"/>
          <w:highlight w:val="none"/>
        </w:rPr>
        <w:t>裁或诉讼</w:t>
      </w:r>
      <w:bookmarkEnd w:id="960"/>
      <w:bookmarkEnd w:id="1136"/>
      <w:bookmarkEnd w:id="1137"/>
      <w:bookmarkEnd w:id="1138"/>
      <w:bookmarkEnd w:id="1139"/>
      <w:bookmarkEnd w:id="1140"/>
      <w:bookmarkEnd w:id="1141"/>
      <w:bookmarkEnd w:id="1142"/>
      <w:bookmarkEnd w:id="1143"/>
      <w:bookmarkEnd w:id="1144"/>
      <w:bookmarkEnd w:id="1145"/>
      <w:bookmarkEnd w:id="1146"/>
      <w:bookmarkEnd w:id="1147"/>
      <w:bookmarkEnd w:id="1148"/>
    </w:p>
    <w:p w14:paraId="0D55353A">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因合同及</w:t>
      </w:r>
      <w:r>
        <w:rPr>
          <w:rFonts w:hint="eastAsia" w:ascii="宋体" w:hAnsi="宋体" w:eastAsia="宋体" w:cs="宋体"/>
          <w:color w:val="auto"/>
          <w:sz w:val="24"/>
          <w:szCs w:val="24"/>
          <w:highlight w:val="none"/>
        </w:rPr>
        <w:t>合同有关事项发生的争议，按下列第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种方式解决：</w:t>
      </w:r>
    </w:p>
    <w:p w14:paraId="2AA6D31F">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仲裁委员会申请仲裁；</w:t>
      </w:r>
    </w:p>
    <w:p w14:paraId="5FF4A4BD">
      <w:pPr>
        <w:pageBreakBefore w:val="0"/>
        <w:widowControl w:val="0"/>
        <w:kinsoku/>
        <w:wordWrap/>
        <w:overflowPunct/>
        <w:topLinePunct w:val="0"/>
        <w:bidi w:val="0"/>
        <w:snapToGrid/>
        <w:spacing w:line="3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人民法院起诉。</w:t>
      </w:r>
      <w:bookmarkEnd w:id="961"/>
      <w:bookmarkEnd w:id="962"/>
      <w:bookmarkEnd w:id="963"/>
      <w:bookmarkEnd w:id="964"/>
      <w:bookmarkEnd w:id="965"/>
      <w:bookmarkEnd w:id="966"/>
    </w:p>
    <w:p w14:paraId="03236CAE">
      <w:pPr>
        <w:keepNext w:val="0"/>
        <w:keepLines w:val="0"/>
        <w:pageBreakBefore w:val="0"/>
        <w:kinsoku/>
        <w:wordWrap/>
        <w:overflowPunct/>
        <w:topLinePunct w:val="0"/>
        <w:bidi w:val="0"/>
        <w:snapToGrid/>
        <w:spacing w:line="360" w:lineRule="auto"/>
        <w:ind w:left="0" w:leftChars="0" w:right="0" w:firstLine="482" w:firstLineChars="200"/>
        <w:textAlignment w:val="auto"/>
        <w:rPr>
          <w:rFonts w:hint="eastAsia" w:ascii="宋体" w:hAnsi="宋体" w:eastAsia="宋体" w:cs="宋体"/>
          <w:b/>
          <w:bCs/>
          <w:color w:val="auto"/>
          <w:sz w:val="24"/>
          <w:szCs w:val="24"/>
          <w:highlight w:val="none"/>
          <w:u w:val="none"/>
          <w:lang w:val="en-US" w:eastAsia="zh-CN"/>
        </w:rPr>
      </w:pPr>
    </w:p>
    <w:p w14:paraId="57A1708E">
      <w:pPr>
        <w:rPr>
          <w:rFonts w:hint="eastAsia" w:ascii="宋体" w:hAnsi="宋体" w:eastAsia="宋体" w:cs="宋体"/>
          <w:color w:val="auto"/>
          <w:highlight w:val="none"/>
        </w:rPr>
      </w:pPr>
    </w:p>
    <w:p w14:paraId="18C90B51">
      <w:pPr>
        <w:pStyle w:val="4"/>
        <w:tabs>
          <w:tab w:val="left" w:pos="567"/>
        </w:tabs>
        <w:rPr>
          <w:rFonts w:hint="eastAsia"/>
        </w:rPr>
      </w:pPr>
    </w:p>
    <w:p w14:paraId="5B9F40A7">
      <w:pPr>
        <w:spacing w:line="360" w:lineRule="auto"/>
        <w:jc w:val="lef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附件</w:t>
      </w:r>
    </w:p>
    <w:p w14:paraId="3A3D84AC">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工程质量保修书</w:t>
      </w:r>
    </w:p>
    <w:p w14:paraId="2F11FD08">
      <w:pPr>
        <w:widowControl/>
        <w:spacing w:line="360" w:lineRule="auto"/>
        <w:ind w:firstLine="643" w:firstLineChars="200"/>
        <w:jc w:val="left"/>
        <w:rPr>
          <w:rFonts w:hint="eastAsia" w:ascii="宋体" w:hAnsi="宋体" w:eastAsia="宋体" w:cs="宋体"/>
          <w:b/>
          <w:bCs/>
          <w:color w:val="auto"/>
          <w:sz w:val="32"/>
          <w:szCs w:val="32"/>
          <w:highlight w:val="none"/>
          <w:lang w:eastAsia="zh-CN"/>
        </w:rPr>
      </w:pPr>
    </w:p>
    <w:p w14:paraId="5AC6CF68">
      <w:pPr>
        <w:widowControl/>
        <w:spacing w:line="360" w:lineRule="auto"/>
        <w:ind w:firstLine="643" w:firstLineChars="200"/>
        <w:jc w:val="left"/>
        <w:rPr>
          <w:rFonts w:hint="eastAsia" w:ascii="宋体" w:hAnsi="宋体" w:eastAsia="宋体" w:cs="宋体"/>
          <w:color w:val="auto"/>
          <w:sz w:val="24"/>
          <w:szCs w:val="24"/>
          <w:highlight w:val="none"/>
        </w:rPr>
      </w:pPr>
      <w:r>
        <w:rPr>
          <w:rFonts w:hint="eastAsia" w:ascii="宋体" w:hAnsi="宋体" w:eastAsia="宋体" w:cs="宋体"/>
          <w:b/>
          <w:bCs/>
          <w:color w:val="auto"/>
          <w:sz w:val="32"/>
          <w:szCs w:val="32"/>
          <w:highlight w:val="none"/>
          <w:lang w:eastAsia="zh-CN"/>
        </w:rPr>
        <w:t>注：本合同协议书、专用条款、附件内容空白部分，具体条款内容由采购人和</w:t>
      </w:r>
      <w:r>
        <w:rPr>
          <w:rFonts w:hint="eastAsia" w:hAnsi="宋体" w:cs="宋体"/>
          <w:b/>
          <w:bCs/>
          <w:color w:val="auto"/>
          <w:sz w:val="32"/>
          <w:szCs w:val="32"/>
          <w:highlight w:val="none"/>
          <w:lang w:eastAsia="zh-CN"/>
        </w:rPr>
        <w:t>成交</w:t>
      </w:r>
      <w:r>
        <w:rPr>
          <w:rFonts w:hint="eastAsia" w:ascii="宋体" w:hAnsi="宋体" w:eastAsia="宋体" w:cs="宋体"/>
          <w:b/>
          <w:bCs/>
          <w:color w:val="auto"/>
          <w:sz w:val="32"/>
          <w:szCs w:val="32"/>
          <w:highlight w:val="none"/>
          <w:lang w:eastAsia="zh-CN"/>
        </w:rPr>
        <w:t>人协商确定，但不得改变</w:t>
      </w:r>
      <w:r>
        <w:rPr>
          <w:rFonts w:hint="eastAsia" w:hAnsi="宋体" w:cs="宋体"/>
          <w:b/>
          <w:bCs/>
          <w:color w:val="auto"/>
          <w:sz w:val="32"/>
          <w:szCs w:val="32"/>
          <w:highlight w:val="none"/>
          <w:lang w:eastAsia="zh-CN"/>
        </w:rPr>
        <w:t>采购</w:t>
      </w:r>
      <w:r>
        <w:rPr>
          <w:rFonts w:hint="eastAsia" w:ascii="宋体" w:hAnsi="宋体" w:eastAsia="宋体" w:cs="宋体"/>
          <w:b/>
          <w:bCs/>
          <w:color w:val="auto"/>
          <w:sz w:val="32"/>
          <w:szCs w:val="32"/>
          <w:highlight w:val="none"/>
          <w:lang w:eastAsia="zh-CN"/>
        </w:rPr>
        <w:t>文件、</w:t>
      </w:r>
      <w:r>
        <w:rPr>
          <w:rFonts w:hint="eastAsia" w:hAnsi="宋体" w:cs="宋体"/>
          <w:b/>
          <w:bCs/>
          <w:color w:val="auto"/>
          <w:sz w:val="32"/>
          <w:szCs w:val="32"/>
          <w:highlight w:val="none"/>
          <w:lang w:eastAsia="zh-CN"/>
        </w:rPr>
        <w:t>响应</w:t>
      </w:r>
      <w:r>
        <w:rPr>
          <w:rFonts w:hint="eastAsia" w:ascii="宋体" w:hAnsi="宋体" w:eastAsia="宋体" w:cs="宋体"/>
          <w:b/>
          <w:bCs/>
          <w:color w:val="auto"/>
          <w:sz w:val="32"/>
          <w:szCs w:val="32"/>
          <w:highlight w:val="none"/>
          <w:lang w:eastAsia="zh-CN"/>
        </w:rPr>
        <w:t>文件、</w:t>
      </w:r>
      <w:r>
        <w:rPr>
          <w:rFonts w:hint="eastAsia" w:hAnsi="宋体" w:cs="宋体"/>
          <w:b/>
          <w:bCs/>
          <w:color w:val="auto"/>
          <w:sz w:val="32"/>
          <w:szCs w:val="32"/>
          <w:highlight w:val="none"/>
          <w:lang w:eastAsia="zh-CN"/>
        </w:rPr>
        <w:t>成交</w:t>
      </w:r>
      <w:r>
        <w:rPr>
          <w:rFonts w:hint="eastAsia" w:ascii="宋体" w:hAnsi="宋体" w:eastAsia="宋体" w:cs="宋体"/>
          <w:b/>
          <w:bCs/>
          <w:color w:val="auto"/>
          <w:sz w:val="32"/>
          <w:szCs w:val="32"/>
          <w:highlight w:val="none"/>
          <w:lang w:eastAsia="zh-CN"/>
        </w:rPr>
        <w:t>通知书等实质性内容。</w:t>
      </w:r>
    </w:p>
    <w:p w14:paraId="095C3745">
      <w:pPr>
        <w:spacing w:line="440" w:lineRule="exact"/>
        <w:rPr>
          <w:rFonts w:hint="eastAsia" w:ascii="宋体" w:hAnsi="宋体" w:eastAsia="宋体" w:cs="宋体"/>
          <w:color w:val="auto"/>
          <w:sz w:val="24"/>
          <w:szCs w:val="24"/>
          <w:highlight w:val="none"/>
        </w:rPr>
      </w:pPr>
    </w:p>
    <w:p w14:paraId="469FD74C">
      <w:pPr>
        <w:spacing w:line="440" w:lineRule="exact"/>
        <w:rPr>
          <w:rFonts w:hint="eastAsia" w:ascii="宋体" w:hAnsi="宋体" w:eastAsia="宋体" w:cs="宋体"/>
          <w:color w:val="auto"/>
          <w:sz w:val="24"/>
          <w:szCs w:val="24"/>
          <w:highlight w:val="none"/>
        </w:rPr>
      </w:pPr>
    </w:p>
    <w:p w14:paraId="2A0CC0CD">
      <w:pPr>
        <w:spacing w:line="440" w:lineRule="exact"/>
        <w:rPr>
          <w:rFonts w:hint="eastAsia" w:ascii="宋体" w:hAnsi="宋体" w:eastAsia="宋体" w:cs="宋体"/>
          <w:color w:val="auto"/>
          <w:sz w:val="24"/>
          <w:szCs w:val="24"/>
          <w:highlight w:val="none"/>
        </w:rPr>
      </w:pPr>
    </w:p>
    <w:p w14:paraId="3A8AD557">
      <w:pPr>
        <w:spacing w:line="440" w:lineRule="exact"/>
        <w:rPr>
          <w:rFonts w:hint="eastAsia" w:ascii="宋体" w:hAnsi="宋体" w:eastAsia="宋体" w:cs="宋体"/>
          <w:color w:val="auto"/>
          <w:sz w:val="24"/>
          <w:szCs w:val="24"/>
          <w:highlight w:val="none"/>
        </w:rPr>
      </w:pPr>
    </w:p>
    <w:p w14:paraId="13F6EDEA">
      <w:pPr>
        <w:spacing w:line="440" w:lineRule="exact"/>
        <w:rPr>
          <w:rFonts w:hint="eastAsia" w:ascii="宋体" w:hAnsi="宋体" w:eastAsia="宋体" w:cs="宋体"/>
          <w:color w:val="auto"/>
          <w:sz w:val="24"/>
          <w:szCs w:val="24"/>
          <w:highlight w:val="none"/>
        </w:rPr>
      </w:pPr>
    </w:p>
    <w:p w14:paraId="3A8E9DC8">
      <w:pP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w:t>
      </w:r>
      <w:bookmarkStart w:id="1149" w:name="_Toc267261693"/>
      <w:bookmarkStart w:id="1150" w:name="_Toc296347225"/>
      <w:bookmarkStart w:id="1151" w:name="_Toc296891266"/>
      <w:bookmarkStart w:id="1152" w:name="_Toc296891054"/>
      <w:bookmarkStart w:id="1153" w:name="_Toc296346727"/>
      <w:bookmarkStart w:id="1154" w:name="_Toc296503226"/>
      <w:bookmarkStart w:id="1155" w:name="_Toc296944565"/>
      <w:r>
        <w:rPr>
          <w:rFonts w:hint="eastAsia" w:ascii="宋体" w:hAnsi="宋体" w:eastAsia="宋体" w:cs="宋体"/>
          <w:color w:val="auto"/>
          <w:sz w:val="24"/>
          <w:szCs w:val="24"/>
          <w:highlight w:val="none"/>
        </w:rPr>
        <w:t>件</w:t>
      </w:r>
      <w:bookmarkEnd w:id="1149"/>
      <w:bookmarkEnd w:id="1150"/>
      <w:bookmarkEnd w:id="1151"/>
      <w:bookmarkEnd w:id="1152"/>
      <w:bookmarkEnd w:id="1153"/>
      <w:bookmarkEnd w:id="1154"/>
      <w:bookmarkEnd w:id="1155"/>
      <w:r>
        <w:rPr>
          <w:rFonts w:hint="eastAsia" w:ascii="宋体" w:hAnsi="宋体" w:eastAsia="宋体" w:cs="宋体"/>
          <w:color w:val="auto"/>
          <w:sz w:val="24"/>
          <w:szCs w:val="24"/>
          <w:highlight w:val="none"/>
        </w:rPr>
        <w:t xml:space="preserve">    </w:t>
      </w:r>
    </w:p>
    <w:p w14:paraId="5F0B6174">
      <w:pPr>
        <w:spacing w:before="156" w:beforeLines="50" w:after="156" w:afterLines="50" w:line="440" w:lineRule="exact"/>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工程质量保修书</w:t>
      </w:r>
    </w:p>
    <w:p w14:paraId="2F6CD330">
      <w:pPr>
        <w:spacing w:line="440" w:lineRule="exact"/>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发包人（全称）：</w:t>
      </w:r>
      <w:r>
        <w:rPr>
          <w:rFonts w:hint="eastAsia" w:hAnsi="宋体" w:cs="宋体"/>
          <w:color w:val="auto"/>
          <w:sz w:val="24"/>
          <w:szCs w:val="24"/>
          <w:highlight w:val="none"/>
          <w:u w:val="single"/>
          <w:lang w:eastAsia="zh-CN"/>
        </w:rPr>
        <w:t>白水县农业农村局</w:t>
      </w:r>
      <w:r>
        <w:rPr>
          <w:rFonts w:hint="eastAsia" w:ascii="宋体" w:hAnsi="宋体" w:eastAsia="宋体" w:cs="宋体"/>
          <w:color w:val="auto"/>
          <w:sz w:val="24"/>
          <w:szCs w:val="24"/>
          <w:highlight w:val="none"/>
          <w:u w:val="single"/>
        </w:rPr>
        <w:t xml:space="preserve">     </w:t>
      </w:r>
    </w:p>
    <w:p w14:paraId="3DFB1F1D">
      <w:pPr>
        <w:spacing w:line="440" w:lineRule="exact"/>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承包人（全称）：</w:t>
      </w:r>
      <w:r>
        <w:rPr>
          <w:rFonts w:hint="eastAsia" w:ascii="宋体" w:hAnsi="宋体" w:eastAsia="宋体" w:cs="宋体"/>
          <w:color w:val="auto"/>
          <w:sz w:val="24"/>
          <w:szCs w:val="24"/>
          <w:highlight w:val="none"/>
          <w:u w:val="single"/>
        </w:rPr>
        <w:t xml:space="preserve">                       </w:t>
      </w:r>
    </w:p>
    <w:p w14:paraId="63961513">
      <w:pPr>
        <w:spacing w:line="360" w:lineRule="auto"/>
        <w:ind w:firstLine="480" w:firstLineChars="200"/>
        <w:jc w:val="left"/>
        <w:outlineLvl w:val="0"/>
        <w:rPr>
          <w:rFonts w:hint="eastAsia" w:ascii="宋体" w:hAnsi="宋体" w:eastAsia="宋体" w:cs="宋体"/>
          <w:color w:val="auto"/>
          <w:sz w:val="24"/>
          <w:szCs w:val="24"/>
          <w:highlight w:val="none"/>
        </w:rPr>
      </w:pPr>
      <w:bookmarkStart w:id="1156" w:name="_Toc11381"/>
      <w:bookmarkStart w:id="1157" w:name="_Toc3198"/>
      <w:bookmarkStart w:id="1158" w:name="_Toc5097"/>
      <w:bookmarkStart w:id="1159" w:name="_Toc4688"/>
      <w:bookmarkStart w:id="1160" w:name="_Toc14288"/>
      <w:bookmarkStart w:id="1161" w:name="_Toc3215"/>
      <w:bookmarkStart w:id="1162" w:name="_Toc23317"/>
      <w:bookmarkStart w:id="1163" w:name="_Toc10979"/>
      <w:bookmarkStart w:id="1164" w:name="_Toc13445"/>
      <w:bookmarkStart w:id="1165" w:name="_Toc9082"/>
      <w:bookmarkStart w:id="1166" w:name="_Toc9389"/>
      <w:bookmarkStart w:id="1167" w:name="_Toc16381"/>
      <w:bookmarkStart w:id="1168" w:name="_Toc31554"/>
      <w:bookmarkStart w:id="1169" w:name="_Toc25908"/>
      <w:r>
        <w:rPr>
          <w:rFonts w:hint="eastAsia" w:ascii="宋体" w:hAnsi="宋体" w:eastAsia="宋体" w:cs="宋体"/>
          <w:color w:val="auto"/>
          <w:sz w:val="24"/>
          <w:szCs w:val="24"/>
          <w:highlight w:val="none"/>
        </w:rPr>
        <w:t>发包人和承包人根据《中华人民共和国建筑法》和《建设工程质量管理条例》，经协商一致就</w:t>
      </w:r>
      <w:r>
        <w:rPr>
          <w:rFonts w:hint="eastAsia" w:hAnsi="宋体" w:cs="宋体"/>
          <w:color w:val="auto"/>
          <w:sz w:val="24"/>
          <w:highlight w:val="none"/>
          <w:u w:val="single"/>
          <w:lang w:val="en-US" w:eastAsia="zh-CN"/>
        </w:rPr>
        <w:t xml:space="preserve"> 2025年白水县城关街道办北关村集体经济物流市场提升改造项目</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（工程全称）签订工程质量保修书。</w:t>
      </w:r>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Start w:id="1170" w:name="_Toc6452"/>
    </w:p>
    <w:p w14:paraId="063F6DEA">
      <w:pPr>
        <w:spacing w:line="360" w:lineRule="auto"/>
        <w:ind w:firstLine="480" w:firstLineChars="200"/>
        <w:jc w:val="left"/>
        <w:outlineLvl w:val="0"/>
        <w:rPr>
          <w:rFonts w:hint="eastAsia" w:ascii="宋体" w:hAnsi="宋体" w:eastAsia="宋体" w:cs="宋体"/>
          <w:color w:val="auto"/>
          <w:sz w:val="24"/>
          <w:szCs w:val="24"/>
          <w:highlight w:val="none"/>
        </w:rPr>
      </w:pPr>
      <w:bookmarkStart w:id="1171" w:name="_Toc10590"/>
      <w:bookmarkStart w:id="1172" w:name="_Toc29435"/>
      <w:bookmarkStart w:id="1173" w:name="_Toc27699"/>
      <w:bookmarkStart w:id="1174" w:name="_Toc12714"/>
      <w:bookmarkStart w:id="1175" w:name="_Toc19626"/>
      <w:bookmarkStart w:id="1176" w:name="_Toc25080"/>
      <w:bookmarkStart w:id="1177" w:name="_Toc10166"/>
      <w:bookmarkStart w:id="1178" w:name="_Toc15911"/>
      <w:bookmarkStart w:id="1179" w:name="_Toc23715"/>
      <w:bookmarkStart w:id="1180" w:name="_Toc12621"/>
      <w:bookmarkStart w:id="1181" w:name="_Toc2737"/>
      <w:bookmarkStart w:id="1182" w:name="_Toc20195"/>
      <w:bookmarkStart w:id="1183" w:name="_Toc25796"/>
      <w:bookmarkStart w:id="1184" w:name="_Toc27703"/>
      <w:r>
        <w:rPr>
          <w:rFonts w:hint="eastAsia" w:ascii="宋体" w:hAnsi="宋体" w:eastAsia="宋体" w:cs="宋体"/>
          <w:color w:val="auto"/>
          <w:sz w:val="24"/>
          <w:szCs w:val="24"/>
          <w:highlight w:val="none"/>
        </w:rPr>
        <w:t>一、工程质量保修范围和内容</w:t>
      </w:r>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p>
    <w:p w14:paraId="5EA95D98">
      <w:pPr>
        <w:spacing w:line="360" w:lineRule="auto"/>
        <w:ind w:firstLine="480" w:firstLineChars="200"/>
        <w:jc w:val="left"/>
        <w:outlineLvl w:val="0"/>
        <w:rPr>
          <w:rFonts w:hint="eastAsia" w:ascii="宋体" w:hAnsi="宋体" w:eastAsia="宋体" w:cs="宋体"/>
          <w:color w:val="auto"/>
          <w:sz w:val="24"/>
          <w:szCs w:val="24"/>
          <w:highlight w:val="none"/>
        </w:rPr>
      </w:pPr>
      <w:bookmarkStart w:id="1185" w:name="_Toc3936"/>
      <w:bookmarkStart w:id="1186" w:name="_Toc4869"/>
      <w:bookmarkStart w:id="1187" w:name="_Toc11892"/>
      <w:bookmarkStart w:id="1188" w:name="_Toc25384"/>
      <w:bookmarkStart w:id="1189" w:name="_Toc17201"/>
      <w:bookmarkStart w:id="1190" w:name="_Toc23956"/>
      <w:bookmarkStart w:id="1191" w:name="_Toc29372"/>
      <w:bookmarkStart w:id="1192" w:name="_Toc27205"/>
      <w:bookmarkStart w:id="1193" w:name="_Toc25920"/>
      <w:bookmarkStart w:id="1194" w:name="_Toc18437"/>
      <w:bookmarkStart w:id="1195" w:name="_Toc14180"/>
      <w:bookmarkStart w:id="1196" w:name="_Toc9546"/>
      <w:bookmarkStart w:id="1197" w:name="_Toc21642"/>
      <w:bookmarkStart w:id="1198" w:name="_Toc26351"/>
      <w:r>
        <w:rPr>
          <w:rFonts w:hint="eastAsia" w:ascii="宋体" w:hAnsi="宋体" w:eastAsia="宋体" w:cs="宋体"/>
          <w:color w:val="auto"/>
          <w:sz w:val="24"/>
          <w:szCs w:val="24"/>
          <w:highlight w:val="none"/>
        </w:rPr>
        <w:t>承包人在质量保修期内，按照有关法律规定和合同约定，承担工程质量保修责任。</w:t>
      </w:r>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p>
    <w:p w14:paraId="4DA66071">
      <w:pPr>
        <w:spacing w:line="360" w:lineRule="auto"/>
        <w:ind w:firstLine="480" w:firstLineChars="200"/>
        <w:jc w:val="left"/>
        <w:outlineLvl w:val="0"/>
        <w:rPr>
          <w:rFonts w:hint="eastAsia" w:ascii="宋体" w:hAnsi="宋体" w:eastAsia="宋体" w:cs="宋体"/>
          <w:color w:val="auto"/>
          <w:sz w:val="24"/>
          <w:szCs w:val="24"/>
          <w:highlight w:val="none"/>
        </w:rPr>
      </w:pPr>
      <w:bookmarkStart w:id="1199" w:name="_Toc26228"/>
      <w:bookmarkStart w:id="1200" w:name="_Toc14658"/>
      <w:bookmarkStart w:id="1201" w:name="_Toc15389"/>
      <w:bookmarkStart w:id="1202" w:name="_Toc15209"/>
      <w:bookmarkStart w:id="1203" w:name="_Toc12330"/>
      <w:bookmarkStart w:id="1204" w:name="_Toc20615"/>
      <w:bookmarkStart w:id="1205" w:name="_Toc14058"/>
      <w:bookmarkStart w:id="1206" w:name="_Toc26340"/>
      <w:bookmarkStart w:id="1207" w:name="_Toc20701"/>
      <w:bookmarkStart w:id="1208" w:name="_Toc2635"/>
      <w:bookmarkStart w:id="1209" w:name="_Toc9543"/>
      <w:bookmarkStart w:id="1210" w:name="_Toc32660"/>
      <w:bookmarkStart w:id="1211" w:name="_Toc23641"/>
      <w:bookmarkStart w:id="1212" w:name="_Toc20791"/>
      <w:r>
        <w:rPr>
          <w:rFonts w:hint="eastAsia" w:ascii="宋体" w:hAnsi="宋体" w:eastAsia="宋体" w:cs="宋体"/>
          <w:color w:val="auto"/>
          <w:sz w:val="24"/>
          <w:szCs w:val="24"/>
          <w:highlight w:val="none"/>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p>
    <w:p w14:paraId="2957A6C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B31F6D9">
      <w:pPr>
        <w:spacing w:line="360" w:lineRule="auto"/>
        <w:ind w:firstLine="480" w:firstLineChars="200"/>
        <w:jc w:val="left"/>
        <w:outlineLvl w:val="0"/>
        <w:rPr>
          <w:rFonts w:hint="eastAsia" w:ascii="宋体" w:hAnsi="宋体" w:eastAsia="宋体" w:cs="宋体"/>
          <w:color w:val="auto"/>
          <w:sz w:val="24"/>
          <w:szCs w:val="24"/>
          <w:highlight w:val="none"/>
        </w:rPr>
      </w:pPr>
      <w:bookmarkStart w:id="1213" w:name="_Toc22289"/>
      <w:bookmarkStart w:id="1214" w:name="_Toc14371"/>
      <w:bookmarkStart w:id="1215" w:name="_Toc29996"/>
      <w:bookmarkStart w:id="1216" w:name="_Toc27229"/>
      <w:bookmarkStart w:id="1217" w:name="_Toc29594"/>
      <w:bookmarkStart w:id="1218" w:name="_Toc30584"/>
      <w:bookmarkStart w:id="1219" w:name="_Toc18293"/>
      <w:bookmarkStart w:id="1220" w:name="_Toc31028"/>
      <w:bookmarkStart w:id="1221" w:name="_Toc6300"/>
      <w:bookmarkStart w:id="1222" w:name="_Toc31149"/>
      <w:bookmarkStart w:id="1223" w:name="_Toc31878"/>
      <w:bookmarkStart w:id="1224" w:name="_Toc30326"/>
      <w:bookmarkStart w:id="1225" w:name="_Toc26001"/>
      <w:bookmarkStart w:id="1226" w:name="_Toc23044"/>
      <w:bookmarkStart w:id="1227" w:name="_Toc8286"/>
      <w:r>
        <w:rPr>
          <w:rFonts w:hint="eastAsia" w:ascii="宋体" w:hAnsi="宋体" w:eastAsia="宋体" w:cs="宋体"/>
          <w:color w:val="auto"/>
          <w:sz w:val="24"/>
          <w:szCs w:val="24"/>
          <w:highlight w:val="none"/>
        </w:rPr>
        <w:t>二、质量保修期</w:t>
      </w:r>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p>
    <w:p w14:paraId="7B900B96">
      <w:pPr>
        <w:spacing w:line="360" w:lineRule="auto"/>
        <w:ind w:firstLine="480" w:firstLineChars="200"/>
        <w:jc w:val="left"/>
        <w:outlineLvl w:val="0"/>
        <w:rPr>
          <w:rFonts w:hint="eastAsia" w:ascii="宋体" w:hAnsi="宋体" w:eastAsia="宋体" w:cs="宋体"/>
          <w:color w:val="auto"/>
          <w:sz w:val="24"/>
          <w:szCs w:val="24"/>
          <w:highlight w:val="none"/>
        </w:rPr>
      </w:pPr>
      <w:bookmarkStart w:id="1228" w:name="_Toc18697"/>
      <w:bookmarkStart w:id="1229" w:name="_Toc5090"/>
      <w:bookmarkStart w:id="1230" w:name="_Toc27472"/>
      <w:bookmarkStart w:id="1231" w:name="_Toc32420"/>
      <w:bookmarkStart w:id="1232" w:name="_Toc29023"/>
      <w:bookmarkStart w:id="1233" w:name="_Toc7499"/>
      <w:bookmarkStart w:id="1234" w:name="_Toc1023"/>
      <w:bookmarkStart w:id="1235" w:name="_Toc30898"/>
      <w:bookmarkStart w:id="1236" w:name="_Toc2691"/>
      <w:bookmarkStart w:id="1237" w:name="_Toc24887"/>
      <w:bookmarkStart w:id="1238" w:name="_Toc9767"/>
      <w:bookmarkStart w:id="1239" w:name="_Toc9112"/>
      <w:bookmarkStart w:id="1240" w:name="_Toc18779"/>
      <w:bookmarkStart w:id="1241" w:name="_Toc2231"/>
      <w:r>
        <w:rPr>
          <w:rFonts w:hint="eastAsia" w:ascii="宋体" w:hAnsi="宋体" w:eastAsia="宋体" w:cs="宋体"/>
          <w:color w:val="auto"/>
          <w:sz w:val="24"/>
          <w:szCs w:val="24"/>
          <w:highlight w:val="none"/>
        </w:rPr>
        <w:t>根据《建设工程质量管理条例》及有关规定，工程的质量保修期如下：</w:t>
      </w:r>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p>
    <w:p w14:paraId="4ADC4C10">
      <w:pPr>
        <w:spacing w:line="360" w:lineRule="auto"/>
        <w:ind w:firstLine="480" w:firstLineChars="200"/>
        <w:jc w:val="left"/>
        <w:outlineLvl w:val="0"/>
        <w:rPr>
          <w:rFonts w:hint="eastAsia" w:ascii="宋体" w:hAnsi="宋体" w:eastAsia="宋体" w:cs="宋体"/>
          <w:color w:val="auto"/>
          <w:sz w:val="24"/>
          <w:szCs w:val="24"/>
          <w:highlight w:val="none"/>
        </w:rPr>
      </w:pPr>
      <w:bookmarkStart w:id="1242" w:name="_Toc30716"/>
      <w:bookmarkStart w:id="1243" w:name="_Toc3019"/>
      <w:bookmarkStart w:id="1244" w:name="_Toc1298"/>
      <w:bookmarkStart w:id="1245" w:name="_Toc23400"/>
      <w:bookmarkStart w:id="1246" w:name="_Toc2632"/>
      <w:bookmarkStart w:id="1247" w:name="_Toc17796"/>
      <w:bookmarkStart w:id="1248" w:name="_Toc14912"/>
      <w:bookmarkStart w:id="1249" w:name="_Toc25615"/>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地基基础工程和主体结构工程为设计文件规定的工程合理使用年限；</w:t>
      </w:r>
      <w:bookmarkEnd w:id="1242"/>
      <w:bookmarkEnd w:id="1243"/>
      <w:bookmarkEnd w:id="1244"/>
      <w:bookmarkEnd w:id="1245"/>
      <w:bookmarkEnd w:id="1246"/>
      <w:bookmarkEnd w:id="1247"/>
      <w:bookmarkEnd w:id="1248"/>
      <w:bookmarkEnd w:id="1249"/>
    </w:p>
    <w:p w14:paraId="13AE19E5">
      <w:pPr>
        <w:spacing w:line="360" w:lineRule="auto"/>
        <w:ind w:firstLine="480" w:firstLineChars="200"/>
        <w:jc w:val="left"/>
        <w:outlineLvl w:val="0"/>
        <w:rPr>
          <w:rFonts w:hint="eastAsia" w:ascii="宋体" w:hAnsi="宋体" w:eastAsia="宋体" w:cs="宋体"/>
          <w:color w:val="auto"/>
          <w:sz w:val="24"/>
          <w:szCs w:val="24"/>
          <w:highlight w:val="none"/>
        </w:rPr>
      </w:pPr>
      <w:bookmarkStart w:id="1250" w:name="_Toc18283"/>
      <w:bookmarkStart w:id="1251" w:name="_Toc9847"/>
      <w:bookmarkStart w:id="1252" w:name="_Toc27728"/>
      <w:bookmarkStart w:id="1253" w:name="_Toc24457"/>
      <w:bookmarkStart w:id="1254" w:name="_Toc17959"/>
      <w:bookmarkStart w:id="1255" w:name="_Toc10888"/>
      <w:bookmarkStart w:id="1256" w:name="_Toc13946"/>
      <w:bookmarkStart w:id="1257" w:name="_Toc29137"/>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屋面防水工程、有防水要求的卫生间、房间和外墙面的防渗为</w:t>
      </w:r>
      <w:r>
        <w:rPr>
          <w:rFonts w:hint="eastAsia" w:ascii="宋体" w:hAnsi="宋体" w:eastAsia="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5</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bookmarkEnd w:id="1250"/>
      <w:bookmarkEnd w:id="1251"/>
      <w:bookmarkEnd w:id="1252"/>
      <w:bookmarkEnd w:id="1253"/>
      <w:bookmarkEnd w:id="1254"/>
      <w:bookmarkEnd w:id="1255"/>
      <w:bookmarkEnd w:id="1256"/>
      <w:bookmarkEnd w:id="1257"/>
    </w:p>
    <w:p w14:paraId="7237E57C">
      <w:pPr>
        <w:spacing w:line="360" w:lineRule="auto"/>
        <w:ind w:firstLine="480" w:firstLineChars="200"/>
        <w:jc w:val="left"/>
        <w:outlineLvl w:val="0"/>
        <w:rPr>
          <w:rFonts w:hint="eastAsia" w:ascii="宋体" w:hAnsi="宋体" w:eastAsia="宋体" w:cs="宋体"/>
          <w:color w:val="auto"/>
          <w:sz w:val="24"/>
          <w:szCs w:val="24"/>
          <w:highlight w:val="none"/>
        </w:rPr>
      </w:pPr>
      <w:bookmarkStart w:id="1258" w:name="_Toc26251"/>
      <w:bookmarkStart w:id="1259" w:name="_Toc5615"/>
      <w:bookmarkStart w:id="1260" w:name="_Toc7509"/>
      <w:bookmarkStart w:id="1261" w:name="_Toc2736"/>
      <w:bookmarkStart w:id="1262" w:name="_Toc16637"/>
      <w:bookmarkStart w:id="1263" w:name="_Toc16858"/>
      <w:bookmarkStart w:id="1264" w:name="_Toc28176"/>
      <w:bookmarkStart w:id="1265" w:name="_Toc18326"/>
      <w:bookmarkStart w:id="1266" w:name="_Toc14147"/>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装修工程为</w:t>
      </w:r>
      <w:r>
        <w:rPr>
          <w:rFonts w:hint="eastAsia" w:ascii="宋体" w:hAnsi="宋体" w:eastAsia="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bookmarkEnd w:id="1258"/>
      <w:bookmarkEnd w:id="1259"/>
      <w:bookmarkEnd w:id="1260"/>
      <w:bookmarkEnd w:id="1261"/>
      <w:bookmarkEnd w:id="1262"/>
      <w:bookmarkEnd w:id="1263"/>
      <w:bookmarkEnd w:id="1264"/>
      <w:bookmarkEnd w:id="1265"/>
      <w:bookmarkEnd w:id="1266"/>
    </w:p>
    <w:p w14:paraId="17B573BD">
      <w:pPr>
        <w:spacing w:line="360" w:lineRule="auto"/>
        <w:ind w:firstLine="480" w:firstLineChars="200"/>
        <w:jc w:val="left"/>
        <w:outlineLvl w:val="0"/>
        <w:rPr>
          <w:rFonts w:hint="eastAsia" w:ascii="宋体" w:hAnsi="宋体" w:eastAsia="宋体" w:cs="宋体"/>
          <w:color w:val="auto"/>
          <w:sz w:val="24"/>
          <w:szCs w:val="24"/>
          <w:highlight w:val="none"/>
        </w:rPr>
      </w:pPr>
      <w:bookmarkStart w:id="1267" w:name="_Toc15231"/>
      <w:bookmarkStart w:id="1268" w:name="_Toc14446"/>
      <w:bookmarkStart w:id="1269" w:name="_Toc25512"/>
      <w:bookmarkStart w:id="1270" w:name="_Toc21727"/>
      <w:bookmarkStart w:id="1271" w:name="_Toc13416"/>
      <w:bookmarkStart w:id="1272" w:name="_Toc11678"/>
      <w:bookmarkStart w:id="1273" w:name="_Toc19430"/>
      <w:bookmarkStart w:id="1274" w:name="_Toc17546"/>
      <w:bookmarkStart w:id="1275" w:name="_Toc19896"/>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电气管线、给排水管道、设备安装工程为</w:t>
      </w:r>
      <w:r>
        <w:rPr>
          <w:rFonts w:hint="eastAsia" w:ascii="宋体" w:hAnsi="宋体" w:eastAsia="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bookmarkEnd w:id="1267"/>
      <w:bookmarkEnd w:id="1268"/>
      <w:bookmarkEnd w:id="1269"/>
      <w:bookmarkEnd w:id="1270"/>
      <w:bookmarkEnd w:id="1271"/>
      <w:bookmarkEnd w:id="1272"/>
      <w:bookmarkEnd w:id="1273"/>
      <w:bookmarkEnd w:id="1274"/>
      <w:bookmarkEnd w:id="1275"/>
    </w:p>
    <w:p w14:paraId="6B24F8D8">
      <w:pPr>
        <w:spacing w:line="360" w:lineRule="auto"/>
        <w:ind w:firstLine="480" w:firstLineChars="200"/>
        <w:jc w:val="left"/>
        <w:outlineLvl w:val="0"/>
        <w:rPr>
          <w:rFonts w:hint="eastAsia" w:ascii="宋体" w:hAnsi="宋体" w:eastAsia="宋体" w:cs="宋体"/>
          <w:color w:val="auto"/>
          <w:sz w:val="24"/>
          <w:szCs w:val="24"/>
          <w:highlight w:val="none"/>
        </w:rPr>
      </w:pPr>
      <w:bookmarkStart w:id="1276" w:name="_Toc30721"/>
      <w:bookmarkStart w:id="1277" w:name="_Toc5354"/>
      <w:bookmarkStart w:id="1278" w:name="_Toc812"/>
      <w:bookmarkStart w:id="1279" w:name="_Toc27902"/>
      <w:bookmarkStart w:id="1280" w:name="_Toc8886"/>
      <w:bookmarkStart w:id="1281" w:name="_Toc20184"/>
      <w:bookmarkStart w:id="1282" w:name="_Toc26989"/>
      <w:bookmarkStart w:id="1283" w:name="_Toc8319"/>
      <w:bookmarkStart w:id="1284" w:name="_Toc25558"/>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供热与供冷系统为</w:t>
      </w:r>
      <w:r>
        <w:rPr>
          <w:rFonts w:hint="eastAsia" w:ascii="宋体" w:hAnsi="宋体" w:eastAsia="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个采暖期、供冷期；</w:t>
      </w:r>
      <w:bookmarkEnd w:id="1276"/>
      <w:bookmarkEnd w:id="1277"/>
      <w:bookmarkEnd w:id="1278"/>
      <w:bookmarkEnd w:id="1279"/>
      <w:bookmarkEnd w:id="1280"/>
      <w:bookmarkEnd w:id="1281"/>
      <w:bookmarkEnd w:id="1282"/>
      <w:bookmarkEnd w:id="1283"/>
      <w:bookmarkEnd w:id="1284"/>
    </w:p>
    <w:p w14:paraId="6DA900ED">
      <w:pPr>
        <w:spacing w:line="360" w:lineRule="auto"/>
        <w:ind w:firstLine="480" w:firstLineChars="200"/>
        <w:jc w:val="left"/>
        <w:outlineLvl w:val="0"/>
        <w:rPr>
          <w:rFonts w:hint="eastAsia" w:ascii="宋体" w:hAnsi="宋体" w:eastAsia="宋体" w:cs="宋体"/>
          <w:color w:val="auto"/>
          <w:sz w:val="24"/>
          <w:szCs w:val="24"/>
          <w:highlight w:val="none"/>
        </w:rPr>
      </w:pPr>
      <w:bookmarkStart w:id="1285" w:name="_Toc24671"/>
      <w:bookmarkStart w:id="1286" w:name="_Toc4071"/>
      <w:bookmarkStart w:id="1287" w:name="_Toc4006"/>
      <w:bookmarkStart w:id="1288" w:name="_Toc4936"/>
      <w:bookmarkStart w:id="1289" w:name="_Toc8224"/>
      <w:bookmarkStart w:id="1290" w:name="_Toc8140"/>
      <w:bookmarkStart w:id="1291" w:name="_Toc12679"/>
      <w:bookmarkStart w:id="1292" w:name="_Toc23843"/>
      <w:bookmarkStart w:id="1293" w:name="_Toc8068"/>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住宅小区内的给排水设施、道路等配套工程为</w:t>
      </w:r>
      <w:r>
        <w:rPr>
          <w:rFonts w:hint="eastAsia" w:ascii="宋体" w:hAnsi="宋体" w:eastAsia="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bookmarkEnd w:id="1285"/>
      <w:bookmarkEnd w:id="1286"/>
      <w:bookmarkEnd w:id="1287"/>
      <w:bookmarkEnd w:id="1288"/>
      <w:bookmarkEnd w:id="1289"/>
      <w:bookmarkEnd w:id="1290"/>
      <w:bookmarkEnd w:id="1291"/>
      <w:bookmarkEnd w:id="1292"/>
      <w:bookmarkEnd w:id="1293"/>
    </w:p>
    <w:p w14:paraId="584CEE39">
      <w:pPr>
        <w:spacing w:line="360" w:lineRule="auto"/>
        <w:ind w:firstLine="480" w:firstLineChars="200"/>
        <w:jc w:val="left"/>
        <w:outlineLvl w:val="0"/>
        <w:rPr>
          <w:rFonts w:hint="eastAsia" w:ascii="宋体" w:hAnsi="宋体" w:eastAsia="宋体" w:cs="宋体"/>
          <w:color w:val="auto"/>
          <w:sz w:val="24"/>
          <w:szCs w:val="24"/>
          <w:highlight w:val="none"/>
        </w:rPr>
      </w:pPr>
      <w:bookmarkStart w:id="1294" w:name="_Toc23070"/>
      <w:bookmarkStart w:id="1295" w:name="_Toc4061"/>
      <w:bookmarkStart w:id="1296" w:name="_Toc24139"/>
      <w:bookmarkStart w:id="1297" w:name="_Toc10990"/>
      <w:bookmarkStart w:id="1298" w:name="_Toc369"/>
      <w:bookmarkStart w:id="1299" w:name="_Toc16035"/>
      <w:bookmarkStart w:id="1300" w:name="_Toc20670"/>
      <w:bookmarkStart w:id="1301" w:name="_Toc27787"/>
      <w:bookmarkStart w:id="1302" w:name="_Toc26791"/>
      <w:r>
        <w:rPr>
          <w:rFonts w:hint="eastAsia" w:ascii="宋体" w:hAnsi="宋体" w:eastAsia="宋体" w:cs="宋体"/>
          <w:color w:val="auto"/>
          <w:sz w:val="24"/>
          <w:szCs w:val="24"/>
          <w:highlight w:val="none"/>
        </w:rPr>
        <w:t>7</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其他项目保修期限约定如下：</w:t>
      </w:r>
      <w:r>
        <w:rPr>
          <w:rFonts w:hint="eastAsia" w:hAnsi="宋体" w:cs="宋体"/>
          <w:color w:val="auto"/>
          <w:sz w:val="24"/>
          <w:szCs w:val="24"/>
          <w:highlight w:val="none"/>
          <w:u w:val="single"/>
          <w:lang w:val="en-US" w:eastAsia="zh-CN"/>
        </w:rPr>
        <w:t xml:space="preserve">其它工程为2年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1294"/>
      <w:bookmarkEnd w:id="1295"/>
      <w:bookmarkEnd w:id="1296"/>
      <w:bookmarkEnd w:id="1297"/>
      <w:bookmarkEnd w:id="1298"/>
      <w:bookmarkEnd w:id="1299"/>
      <w:bookmarkEnd w:id="1300"/>
      <w:bookmarkEnd w:id="1301"/>
      <w:bookmarkEnd w:id="1302"/>
    </w:p>
    <w:p w14:paraId="6840D5A9">
      <w:pPr>
        <w:spacing w:line="360" w:lineRule="auto"/>
        <w:ind w:left="680" w:leftChars="20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质量保修期自工程竣工验收合格之日起计算。</w:t>
      </w:r>
    </w:p>
    <w:p w14:paraId="61F52217">
      <w:pPr>
        <w:spacing w:line="360" w:lineRule="auto"/>
        <w:ind w:firstLine="480" w:firstLineChars="200"/>
        <w:outlineLvl w:val="0"/>
        <w:rPr>
          <w:rFonts w:hint="eastAsia" w:ascii="宋体" w:hAnsi="宋体" w:eastAsia="宋体" w:cs="宋体"/>
          <w:color w:val="auto"/>
          <w:sz w:val="24"/>
          <w:szCs w:val="24"/>
          <w:highlight w:val="none"/>
        </w:rPr>
      </w:pPr>
      <w:bookmarkStart w:id="1303" w:name="_Toc19431"/>
      <w:bookmarkStart w:id="1304" w:name="_Toc8964"/>
      <w:bookmarkStart w:id="1305" w:name="_Toc32465"/>
      <w:bookmarkStart w:id="1306" w:name="_Toc20928"/>
      <w:bookmarkStart w:id="1307" w:name="_Toc23293"/>
      <w:bookmarkStart w:id="1308" w:name="_Toc18950"/>
      <w:bookmarkStart w:id="1309" w:name="_Toc17202"/>
      <w:bookmarkStart w:id="1310" w:name="_Toc12944"/>
      <w:bookmarkStart w:id="1311" w:name="_Toc1933"/>
      <w:bookmarkStart w:id="1312" w:name="_Toc23579"/>
      <w:bookmarkStart w:id="1313" w:name="_Toc32278"/>
      <w:bookmarkStart w:id="1314" w:name="_Toc30654"/>
      <w:bookmarkStart w:id="1315" w:name="_Toc22769"/>
      <w:bookmarkStart w:id="1316" w:name="_Toc10129"/>
      <w:bookmarkStart w:id="1317" w:name="_Toc27020"/>
      <w:r>
        <w:rPr>
          <w:rFonts w:hint="eastAsia" w:ascii="宋体" w:hAnsi="宋体" w:eastAsia="宋体" w:cs="宋体"/>
          <w:color w:val="auto"/>
          <w:sz w:val="24"/>
          <w:szCs w:val="24"/>
          <w:highlight w:val="none"/>
        </w:rPr>
        <w:t>三、缺陷责任期</w:t>
      </w:r>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p>
    <w:p w14:paraId="1F7549F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工程缺陷责任期为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24</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个月，缺陷责任期自工程通过竣工验收之日起计算。单位工程先于全部工程进行验收，单位工程缺陷责任期自单位工程验收合格之日起算。</w:t>
      </w:r>
    </w:p>
    <w:p w14:paraId="7278239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缺陷责任期终止后，发包人应退还剩余的质量保证金。</w:t>
      </w:r>
    </w:p>
    <w:p w14:paraId="40ABC84F">
      <w:pPr>
        <w:spacing w:line="360" w:lineRule="auto"/>
        <w:ind w:firstLine="480" w:firstLineChars="200"/>
        <w:outlineLvl w:val="0"/>
        <w:rPr>
          <w:rFonts w:hint="eastAsia" w:ascii="宋体" w:hAnsi="宋体" w:eastAsia="宋体" w:cs="宋体"/>
          <w:color w:val="auto"/>
          <w:sz w:val="24"/>
          <w:szCs w:val="24"/>
          <w:highlight w:val="none"/>
        </w:rPr>
      </w:pPr>
      <w:bookmarkStart w:id="1318" w:name="_Toc17722"/>
      <w:bookmarkStart w:id="1319" w:name="_Toc14711"/>
      <w:bookmarkStart w:id="1320" w:name="_Toc8559"/>
      <w:bookmarkStart w:id="1321" w:name="_Toc31196"/>
      <w:bookmarkStart w:id="1322" w:name="_Toc29762"/>
      <w:bookmarkStart w:id="1323" w:name="_Toc27091"/>
      <w:bookmarkStart w:id="1324" w:name="_Toc16846"/>
      <w:bookmarkStart w:id="1325" w:name="_Toc23382"/>
      <w:bookmarkStart w:id="1326" w:name="_Toc28801"/>
      <w:bookmarkStart w:id="1327" w:name="_Toc20363"/>
      <w:bookmarkStart w:id="1328" w:name="_Toc20253"/>
      <w:bookmarkStart w:id="1329" w:name="_Toc27497"/>
      <w:bookmarkStart w:id="1330" w:name="_Toc2434"/>
      <w:bookmarkStart w:id="1331" w:name="_Toc23950"/>
      <w:r>
        <w:rPr>
          <w:rFonts w:hint="eastAsia" w:ascii="宋体" w:hAnsi="宋体" w:eastAsia="宋体" w:cs="宋体"/>
          <w:color w:val="auto"/>
          <w:sz w:val="24"/>
          <w:szCs w:val="24"/>
          <w:highlight w:val="none"/>
        </w:rPr>
        <w:t>四、质量保修责任</w:t>
      </w:r>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p>
    <w:p w14:paraId="61216D0E">
      <w:pPr>
        <w:spacing w:line="360" w:lineRule="auto"/>
        <w:ind w:firstLine="480" w:firstLineChars="200"/>
        <w:outlineLvl w:val="0"/>
        <w:rPr>
          <w:rFonts w:hint="eastAsia" w:ascii="宋体" w:hAnsi="宋体" w:eastAsia="宋体" w:cs="宋体"/>
          <w:color w:val="auto"/>
          <w:sz w:val="24"/>
          <w:szCs w:val="24"/>
          <w:highlight w:val="none"/>
        </w:rPr>
      </w:pPr>
      <w:bookmarkStart w:id="1332" w:name="_Toc4717"/>
      <w:bookmarkStart w:id="1333" w:name="_Toc20413"/>
      <w:bookmarkStart w:id="1334" w:name="_Toc4386"/>
      <w:bookmarkStart w:id="1335" w:name="_Toc27815"/>
      <w:bookmarkStart w:id="1336" w:name="_Toc21748"/>
      <w:bookmarkStart w:id="1337" w:name="_Toc21102"/>
      <w:bookmarkStart w:id="1338" w:name="_Toc32716"/>
      <w:bookmarkStart w:id="1339" w:name="_Toc3898"/>
      <w:bookmarkStart w:id="1340" w:name="_Toc22443"/>
      <w:bookmarkStart w:id="1341" w:name="_Toc14607"/>
      <w:bookmarkStart w:id="1342" w:name="_Toc18135"/>
      <w:bookmarkStart w:id="1343" w:name="_Toc19793"/>
      <w:bookmarkStart w:id="1344" w:name="_Toc31097"/>
      <w:bookmarkStart w:id="1345" w:name="_Toc9062"/>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属于保修范围、内容的项目，承包人应当在接到保修通知之日起7天内派人保修。承包人不在约定期限内派人保修的，发包人可以委托他人修理。</w:t>
      </w:r>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p>
    <w:p w14:paraId="55149361">
      <w:pPr>
        <w:spacing w:line="360" w:lineRule="auto"/>
        <w:ind w:firstLine="480" w:firstLineChars="200"/>
        <w:outlineLvl w:val="0"/>
        <w:rPr>
          <w:rFonts w:hint="eastAsia" w:ascii="宋体" w:hAnsi="宋体" w:eastAsia="宋体" w:cs="宋体"/>
          <w:color w:val="auto"/>
          <w:sz w:val="24"/>
          <w:szCs w:val="24"/>
          <w:highlight w:val="none"/>
        </w:rPr>
      </w:pPr>
      <w:bookmarkStart w:id="1346" w:name="_Toc23195"/>
      <w:bookmarkStart w:id="1347" w:name="_Toc11882"/>
      <w:bookmarkStart w:id="1348" w:name="_Toc20598"/>
      <w:bookmarkStart w:id="1349" w:name="_Toc8709"/>
      <w:bookmarkStart w:id="1350" w:name="_Toc278"/>
      <w:bookmarkStart w:id="1351" w:name="_Toc10564"/>
      <w:bookmarkStart w:id="1352" w:name="_Toc17181"/>
      <w:bookmarkStart w:id="1353" w:name="_Toc12965"/>
      <w:bookmarkStart w:id="1354" w:name="_Toc13244"/>
      <w:bookmarkStart w:id="1355" w:name="_Toc31341"/>
      <w:bookmarkStart w:id="1356" w:name="_Toc22293"/>
      <w:bookmarkStart w:id="1357" w:name="_Toc30025"/>
      <w:bookmarkStart w:id="1358" w:name="_Toc9814"/>
      <w:bookmarkStart w:id="1359" w:name="_Toc30428"/>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发生紧急事故需抢修的，承包人在接到事故通知后，应当立即到达事故现场抢修。</w:t>
      </w:r>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p>
    <w:p w14:paraId="24151E45">
      <w:pPr>
        <w:spacing w:line="360" w:lineRule="auto"/>
        <w:ind w:firstLine="480" w:firstLineChars="200"/>
        <w:outlineLvl w:val="0"/>
        <w:rPr>
          <w:rFonts w:hint="eastAsia" w:ascii="宋体" w:hAnsi="宋体" w:eastAsia="宋体" w:cs="宋体"/>
          <w:color w:val="auto"/>
          <w:sz w:val="24"/>
          <w:szCs w:val="24"/>
          <w:highlight w:val="none"/>
        </w:rPr>
      </w:pPr>
      <w:bookmarkStart w:id="1360" w:name="_Toc9726"/>
      <w:bookmarkStart w:id="1361" w:name="_Toc14898"/>
      <w:bookmarkStart w:id="1362" w:name="_Toc20152"/>
      <w:bookmarkStart w:id="1363" w:name="_Toc23016"/>
      <w:bookmarkStart w:id="1364" w:name="_Toc19961"/>
      <w:bookmarkStart w:id="1365" w:name="_Toc16861"/>
      <w:bookmarkStart w:id="1366" w:name="_Toc23010"/>
      <w:bookmarkStart w:id="1367" w:name="_Toc14358"/>
      <w:bookmarkStart w:id="1368" w:name="_Toc20989"/>
      <w:bookmarkStart w:id="1369" w:name="_Toc1722"/>
      <w:bookmarkStart w:id="1370" w:name="_Toc15844"/>
      <w:bookmarkStart w:id="1371" w:name="_Toc15615"/>
      <w:bookmarkStart w:id="1372" w:name="_Toc24158"/>
      <w:bookmarkStart w:id="1373" w:name="_Toc10216"/>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p>
    <w:p w14:paraId="2C17B8FA">
      <w:pPr>
        <w:spacing w:line="360" w:lineRule="auto"/>
        <w:ind w:firstLine="480" w:firstLineChars="200"/>
        <w:outlineLvl w:val="0"/>
        <w:rPr>
          <w:rFonts w:hint="eastAsia" w:ascii="宋体" w:hAnsi="宋体" w:eastAsia="宋体" w:cs="宋体"/>
          <w:color w:val="auto"/>
          <w:sz w:val="24"/>
          <w:szCs w:val="24"/>
          <w:highlight w:val="none"/>
        </w:rPr>
      </w:pPr>
      <w:bookmarkStart w:id="1374" w:name="_Toc14980"/>
      <w:bookmarkStart w:id="1375" w:name="_Toc897"/>
      <w:bookmarkStart w:id="1376" w:name="_Toc30378"/>
      <w:bookmarkStart w:id="1377" w:name="_Toc28632"/>
      <w:bookmarkStart w:id="1378" w:name="_Toc19350"/>
      <w:bookmarkStart w:id="1379" w:name="_Toc10889"/>
      <w:bookmarkStart w:id="1380" w:name="_Toc15631"/>
      <w:bookmarkStart w:id="1381" w:name="_Toc3771"/>
      <w:bookmarkStart w:id="1382" w:name="_Toc15583"/>
      <w:bookmarkStart w:id="1383" w:name="_Toc28815"/>
      <w:bookmarkStart w:id="1384" w:name="_Toc21521"/>
      <w:bookmarkStart w:id="1385" w:name="_Toc4968"/>
      <w:bookmarkStart w:id="1386" w:name="_Toc15732"/>
      <w:bookmarkStart w:id="1387" w:name="_Toc30382"/>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质量保修完成后，由发包人组织验收。</w:t>
      </w:r>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p>
    <w:p w14:paraId="63ACAED2">
      <w:pPr>
        <w:spacing w:line="360" w:lineRule="auto"/>
        <w:ind w:firstLine="480" w:firstLineChars="200"/>
        <w:outlineLvl w:val="0"/>
        <w:rPr>
          <w:rFonts w:hint="eastAsia" w:ascii="宋体" w:hAnsi="宋体" w:eastAsia="宋体" w:cs="宋体"/>
          <w:color w:val="auto"/>
          <w:sz w:val="24"/>
          <w:szCs w:val="24"/>
          <w:highlight w:val="none"/>
        </w:rPr>
      </w:pPr>
      <w:bookmarkStart w:id="1388" w:name="_Toc19531"/>
      <w:bookmarkStart w:id="1389" w:name="_Toc6595"/>
      <w:bookmarkStart w:id="1390" w:name="_Toc26749"/>
      <w:bookmarkStart w:id="1391" w:name="_Toc1652"/>
      <w:bookmarkStart w:id="1392" w:name="_Toc31403"/>
      <w:bookmarkStart w:id="1393" w:name="_Toc13031"/>
      <w:bookmarkStart w:id="1394" w:name="_Toc8373"/>
      <w:bookmarkStart w:id="1395" w:name="_Toc11674"/>
      <w:bookmarkStart w:id="1396" w:name="_Toc31976"/>
      <w:bookmarkStart w:id="1397" w:name="_Toc11761"/>
      <w:bookmarkStart w:id="1398" w:name="_Toc16065"/>
      <w:bookmarkStart w:id="1399" w:name="_Toc11631"/>
      <w:bookmarkStart w:id="1400" w:name="_Toc19277"/>
      <w:bookmarkStart w:id="1401" w:name="_Toc1723"/>
      <w:bookmarkStart w:id="1402" w:name="_Toc32110"/>
      <w:r>
        <w:rPr>
          <w:rFonts w:hint="eastAsia" w:ascii="宋体" w:hAnsi="宋体" w:eastAsia="宋体" w:cs="宋体"/>
          <w:color w:val="auto"/>
          <w:sz w:val="24"/>
          <w:szCs w:val="24"/>
          <w:highlight w:val="none"/>
        </w:rPr>
        <w:t>五、保修费用</w:t>
      </w:r>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p>
    <w:p w14:paraId="2B22D7F7">
      <w:pPr>
        <w:spacing w:line="360" w:lineRule="auto"/>
        <w:ind w:firstLine="480" w:firstLineChars="200"/>
        <w:outlineLvl w:val="0"/>
        <w:rPr>
          <w:rFonts w:hint="eastAsia" w:ascii="宋体" w:hAnsi="宋体" w:eastAsia="宋体" w:cs="宋体"/>
          <w:color w:val="auto"/>
          <w:sz w:val="24"/>
          <w:szCs w:val="24"/>
          <w:highlight w:val="none"/>
        </w:rPr>
      </w:pPr>
      <w:bookmarkStart w:id="1403" w:name="_Toc23354"/>
      <w:bookmarkStart w:id="1404" w:name="_Toc8522"/>
      <w:bookmarkStart w:id="1405" w:name="_Toc1972"/>
      <w:bookmarkStart w:id="1406" w:name="_Toc9968"/>
      <w:bookmarkStart w:id="1407" w:name="_Toc1890"/>
      <w:bookmarkStart w:id="1408" w:name="_Toc16672"/>
      <w:bookmarkStart w:id="1409" w:name="_Toc415"/>
      <w:bookmarkStart w:id="1410" w:name="_Toc31931"/>
      <w:bookmarkStart w:id="1411" w:name="_Toc21186"/>
      <w:bookmarkStart w:id="1412" w:name="_Toc16928"/>
      <w:bookmarkStart w:id="1413" w:name="_Toc5768"/>
      <w:bookmarkStart w:id="1414" w:name="_Toc28179"/>
      <w:bookmarkStart w:id="1415" w:name="_Toc24941"/>
      <w:bookmarkStart w:id="1416" w:name="_Toc21618"/>
      <w:r>
        <w:rPr>
          <w:rFonts w:hint="eastAsia" w:ascii="宋体" w:hAnsi="宋体" w:eastAsia="宋体" w:cs="宋体"/>
          <w:color w:val="auto"/>
          <w:sz w:val="24"/>
          <w:szCs w:val="24"/>
          <w:highlight w:val="none"/>
        </w:rPr>
        <w:t>保修费用由造成质量缺陷的责任方承担。</w:t>
      </w:r>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Start w:id="1417" w:name="_Toc24986"/>
    </w:p>
    <w:p w14:paraId="39AE8720">
      <w:pPr>
        <w:spacing w:line="360" w:lineRule="auto"/>
        <w:ind w:firstLine="480" w:firstLineChars="200"/>
        <w:outlineLvl w:val="0"/>
        <w:rPr>
          <w:rFonts w:hint="eastAsia" w:ascii="宋体" w:hAnsi="宋体" w:eastAsia="宋体" w:cs="宋体"/>
          <w:color w:val="auto"/>
          <w:sz w:val="24"/>
          <w:szCs w:val="24"/>
          <w:highlight w:val="none"/>
        </w:rPr>
      </w:pPr>
      <w:bookmarkStart w:id="1418" w:name="_Toc32765"/>
      <w:bookmarkStart w:id="1419" w:name="_Toc3487"/>
      <w:bookmarkStart w:id="1420" w:name="_Toc29593"/>
      <w:bookmarkStart w:id="1421" w:name="_Toc26459"/>
      <w:bookmarkStart w:id="1422" w:name="_Toc26319"/>
      <w:bookmarkStart w:id="1423" w:name="_Toc8024"/>
      <w:bookmarkStart w:id="1424" w:name="_Toc17557"/>
      <w:bookmarkStart w:id="1425" w:name="_Toc21080"/>
      <w:bookmarkStart w:id="1426" w:name="_Toc13092"/>
      <w:bookmarkStart w:id="1427" w:name="_Toc26112"/>
      <w:bookmarkStart w:id="1428" w:name="_Toc19108"/>
      <w:bookmarkStart w:id="1429" w:name="_Toc16737"/>
      <w:bookmarkStart w:id="1430" w:name="_Toc27600"/>
      <w:bookmarkStart w:id="1431" w:name="_Toc1851"/>
      <w:r>
        <w:rPr>
          <w:rFonts w:hint="eastAsia" w:ascii="宋体" w:hAnsi="宋体" w:eastAsia="宋体" w:cs="宋体"/>
          <w:color w:val="auto"/>
          <w:sz w:val="24"/>
          <w:szCs w:val="24"/>
          <w:highlight w:val="none"/>
        </w:rPr>
        <w:t>六、双方约定的其他工程质量保修事项：</w:t>
      </w:r>
      <w:bookmarkEnd w:id="1417"/>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p>
    <w:p w14:paraId="3F9FF749">
      <w:pPr>
        <w:spacing w:line="360" w:lineRule="auto"/>
        <w:ind w:firstLine="456" w:firstLineChars="19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工程质量保修书由发包人、承包人在工程竣工验收前共同签署，作为施工合同附件，其有效期限至保修期满。</w:t>
      </w:r>
    </w:p>
    <w:p w14:paraId="4DC630BA">
      <w:pPr>
        <w:spacing w:line="360" w:lineRule="auto"/>
        <w:ind w:firstLine="420"/>
        <w:rPr>
          <w:rFonts w:hint="eastAsia" w:ascii="宋体" w:hAnsi="宋体" w:eastAsia="宋体" w:cs="宋体"/>
          <w:color w:val="auto"/>
          <w:sz w:val="24"/>
          <w:szCs w:val="24"/>
          <w:highlight w:val="none"/>
        </w:rPr>
      </w:pPr>
    </w:p>
    <w:p w14:paraId="1D38D45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承包人(公章)：</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1D61B53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地  址：</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0CC8B93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法定代表人(签字)：</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4A13100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委托代理人(签字)：</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委托代理人(签字)：</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17E01F5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  话：</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12540DC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传  真：</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52719B3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开户银行：</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210F810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账  号：</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0436166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邮政编码：</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rPr>
        <w:t xml:space="preserve">   </w:t>
      </w:r>
    </w:p>
    <w:p w14:paraId="047EBC46"/>
    <w:sectPr>
      <w:pgSz w:w="11906" w:h="16838"/>
      <w:pgMar w:top="1440" w:right="1146" w:bottom="1440" w:left="1160" w:header="851" w:footer="35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93E659B"/>
    <w:multiLevelType w:val="multilevel"/>
    <w:tmpl w:val="D93E659B"/>
    <w:lvl w:ilvl="0" w:tentative="0">
      <w:start w:val="1"/>
      <w:numFmt w:val="chineseCountingThousand"/>
      <w:suff w:val="space"/>
      <w:lvlText w:val="第 %1 章"/>
      <w:lvlJc w:val="left"/>
      <w:pPr>
        <w:ind w:left="0" w:firstLine="0"/>
      </w:pPr>
      <w:rPr>
        <w:rFonts w:hint="eastAsia" w:cs="Times New Roman"/>
        <w:b w:val="0"/>
        <w:bCs w:val="0"/>
        <w:i w:val="0"/>
        <w:iCs w:val="0"/>
        <w:caps w:val="0"/>
        <w:smallCaps w:val="0"/>
        <w:strike w:val="0"/>
        <w:dstrike w:val="0"/>
        <w:vanish w:val="0"/>
        <w:color w:val="000000"/>
        <w:spacing w:val="0"/>
        <w:kern w:val="0"/>
        <w:position w:val="0"/>
        <w:u w:val="none"/>
        <w:vertAlign w:val="baseline"/>
      </w:rPr>
    </w:lvl>
    <w:lvl w:ilvl="1" w:tentative="0">
      <w:start w:val="1"/>
      <w:numFmt w:val="decimal"/>
      <w:isLgl/>
      <w:suff w:val="space"/>
      <w:lvlText w:val="%1.%2"/>
      <w:lvlJc w:val="left"/>
      <w:pPr>
        <w:ind w:left="0" w:firstLine="0"/>
      </w:pPr>
      <w:rPr>
        <w:rFonts w:hint="eastAsia" w:ascii="Arial" w:hAnsi="Arial" w:eastAsia="黑体" w:cs="Times New Roman"/>
        <w:b w:val="0"/>
        <w:bCs w:val="0"/>
        <w:i w:val="0"/>
        <w:iCs w:val="0"/>
        <w:caps w:val="0"/>
        <w:smallCaps w:val="0"/>
        <w:strike w:val="0"/>
        <w:dstrike w:val="0"/>
        <w:vanish w:val="0"/>
        <w:color w:val="auto"/>
        <w:spacing w:val="0"/>
        <w:w w:val="100"/>
        <w:kern w:val="2"/>
        <w:position w:val="0"/>
        <w:sz w:val="36"/>
        <w:u w:val="none"/>
        <w:shd w:val="clear" w:color="auto" w:fill="auto"/>
        <w:vertAlign w:val="baseline"/>
        <w:lang w:val="en-US"/>
      </w:rPr>
    </w:lvl>
    <w:lvl w:ilvl="2" w:tentative="0">
      <w:start w:val="1"/>
      <w:numFmt w:val="decimal"/>
      <w:pStyle w:val="3"/>
      <w:isLgl/>
      <w:suff w:val="space"/>
      <w:lvlText w:val="%1.%2.%3"/>
      <w:lvlJc w:val="left"/>
      <w:pPr>
        <w:ind w:left="0" w:firstLine="0"/>
      </w:pPr>
      <w:rPr>
        <w:rFonts w:hint="eastAsia" w:cs="Times New Roman"/>
        <w:b w:val="0"/>
        <w:bCs w:val="0"/>
        <w:i w:val="0"/>
        <w:iCs w:val="0"/>
        <w:caps w:val="0"/>
        <w:smallCaps w:val="0"/>
        <w:strike w:val="0"/>
        <w:dstrike w:val="0"/>
        <w:vanish w:val="0"/>
        <w:color w:val="000000"/>
        <w:spacing w:val="0"/>
        <w:kern w:val="0"/>
        <w:position w:val="0"/>
        <w:u w:val="none"/>
        <w:vertAlign w:val="baseline"/>
      </w:rPr>
    </w:lvl>
    <w:lvl w:ilvl="3" w:tentative="0">
      <w:start w:val="1"/>
      <w:numFmt w:val="decimal"/>
      <w:isLgl/>
      <w:suff w:val="space"/>
      <w:lvlText w:val="%1.%2.%3.%4"/>
      <w:lvlJc w:val="left"/>
      <w:pPr>
        <w:ind w:left="0" w:firstLine="0"/>
      </w:pPr>
      <w:rPr>
        <w:rFonts w:hint="eastAsia" w:ascii="Arial" w:hAnsi="Arial" w:eastAsia="黑体"/>
        <w:b w:val="0"/>
        <w:i w:val="0"/>
        <w:sz w:val="30"/>
      </w:rPr>
    </w:lvl>
    <w:lvl w:ilvl="4" w:tentative="0">
      <w:start w:val="1"/>
      <w:numFmt w:val="decimal"/>
      <w:isLgl/>
      <w:suff w:val="space"/>
      <w:lvlText w:val="%1.%2.%3.%4.%5"/>
      <w:lvlJc w:val="left"/>
      <w:pPr>
        <w:ind w:left="0" w:firstLine="0"/>
      </w:pPr>
      <w:rPr>
        <w:rFonts w:hint="eastAsia" w:ascii="Arial" w:hAnsi="Arial" w:eastAsia="黑体"/>
        <w:b w:val="0"/>
        <w:i w:val="0"/>
        <w:sz w:val="28"/>
      </w:rPr>
    </w:lvl>
    <w:lvl w:ilvl="5" w:tentative="0">
      <w:start w:val="1"/>
      <w:numFmt w:val="decimal"/>
      <w:isLgl/>
      <w:suff w:val="space"/>
      <w:lvlText w:val="%1.%2.%3.%4.%5.%6"/>
      <w:lvlJc w:val="left"/>
      <w:pPr>
        <w:ind w:left="0" w:firstLine="0"/>
      </w:pPr>
      <w:rPr>
        <w:rFonts w:hint="eastAsia" w:cs="Times New Roman"/>
        <w:b w:val="0"/>
        <w:bCs w:val="0"/>
        <w:i w:val="0"/>
        <w:iCs w:val="0"/>
        <w:caps w:val="0"/>
        <w:smallCaps w:val="0"/>
        <w:strike w:val="0"/>
        <w:dstrike w:val="0"/>
        <w:vanish w:val="0"/>
        <w:color w:val="000000"/>
        <w:spacing w:val="0"/>
        <w:position w:val="0"/>
        <w:u w:val="none"/>
        <w:vertAlign w:val="baseline"/>
      </w:rPr>
    </w:lvl>
    <w:lvl w:ilvl="6" w:tentative="0">
      <w:start w:val="1"/>
      <w:numFmt w:val="decimal"/>
      <w:isLgl/>
      <w:suff w:val="space"/>
      <w:lvlText w:val="%1.%2.%3.%4.%5.%6.%7"/>
      <w:lvlJc w:val="left"/>
      <w:pPr>
        <w:ind w:left="0" w:firstLine="0"/>
      </w:pPr>
      <w:rPr>
        <w:rFonts w:hint="eastAsia" w:cs="Times New Roman"/>
        <w:b w:val="0"/>
        <w:bCs w:val="0"/>
        <w:i w:val="0"/>
        <w:iCs w:val="0"/>
        <w:caps w:val="0"/>
        <w:smallCaps w:val="0"/>
        <w:strike w:val="0"/>
        <w:dstrike w:val="0"/>
        <w:vanish w:val="0"/>
        <w:color w:val="000000"/>
        <w:spacing w:val="0"/>
        <w:position w:val="0"/>
        <w:u w:val="none"/>
        <w:vertAlign w:val="baseline"/>
      </w:rPr>
    </w:lvl>
    <w:lvl w:ilvl="7" w:tentative="0">
      <w:start w:val="1"/>
      <w:numFmt w:val="decimal"/>
      <w:isLgl/>
      <w:suff w:val="space"/>
      <w:lvlText w:val="%1.%2.%3.%4.%5.%6.%7.%8"/>
      <w:lvlJc w:val="left"/>
      <w:pPr>
        <w:ind w:left="0" w:firstLine="0"/>
      </w:pPr>
      <w:rPr>
        <w:rFonts w:hint="eastAsia" w:cs="Times New Roman"/>
        <w:b w:val="0"/>
        <w:bCs w:val="0"/>
        <w:i w:val="0"/>
        <w:iCs w:val="0"/>
        <w:caps w:val="0"/>
        <w:smallCaps w:val="0"/>
        <w:strike w:val="0"/>
        <w:dstrike w:val="0"/>
        <w:vanish w:val="0"/>
        <w:color w:val="000000"/>
        <w:spacing w:val="0"/>
        <w:position w:val="0"/>
        <w:u w:val="none"/>
        <w:vertAlign w:val="baseline"/>
      </w:rPr>
    </w:lvl>
    <w:lvl w:ilvl="8" w:tentative="0">
      <w:start w:val="1"/>
      <w:numFmt w:val="decimal"/>
      <w:isLgl/>
      <w:suff w:val="space"/>
      <w:lvlText w:val="%1.%2.%3.%4.%5.%6.%7.%8.%9"/>
      <w:lvlJc w:val="left"/>
      <w:pPr>
        <w:ind w:left="0" w:firstLine="0"/>
      </w:pPr>
      <w:rPr>
        <w:rFonts w:hint="eastAsia"/>
        <w:b w:val="0"/>
        <w:bCs w:val="0"/>
        <w:i w:val="0"/>
        <w:iCs w:val="0"/>
        <w:caps w:val="0"/>
        <w:smallCaps w:val="0"/>
        <w:strike w:val="0"/>
        <w:dstrike w:val="0"/>
        <w:vanish w:val="0"/>
        <w:color w:val="000000"/>
        <w:spacing w:val="0"/>
        <w:position w:val="0"/>
        <w:u w:val="none"/>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5716FC"/>
    <w:rsid w:val="1DBF30B2"/>
    <w:rsid w:val="206B0DAC"/>
    <w:rsid w:val="3ECF008A"/>
    <w:rsid w:val="3FA0522D"/>
    <w:rsid w:val="4CFE7544"/>
    <w:rsid w:val="69B51B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34"/>
      <w:lang w:val="en-US" w:eastAsia="zh-CN" w:bidi="ar-SA"/>
    </w:rPr>
  </w:style>
  <w:style w:type="paragraph" w:styleId="3">
    <w:name w:val="heading 3"/>
    <w:basedOn w:val="1"/>
    <w:next w:val="1"/>
    <w:semiHidden/>
    <w:unhideWhenUsed/>
    <w:qFormat/>
    <w:uiPriority w:val="0"/>
    <w:pPr>
      <w:keepNext/>
      <w:keepLines/>
      <w:numPr>
        <w:ilvl w:val="2"/>
        <w:numId w:val="1"/>
      </w:numPr>
      <w:spacing w:before="260" w:beforeLines="0" w:beforeAutospacing="0" w:after="260" w:afterLines="0" w:afterAutospacing="0" w:line="413" w:lineRule="auto"/>
      <w:outlineLvl w:val="2"/>
    </w:pPr>
    <w:rPr>
      <w:b/>
      <w:sz w:val="32"/>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4">
    <w:name w:val="Body Text"/>
    <w:basedOn w:val="1"/>
    <w:next w:val="5"/>
    <w:qFormat/>
    <w:uiPriority w:val="0"/>
    <w:pPr>
      <w:spacing w:after="120"/>
    </w:pPr>
    <w:rPr>
      <w:rFonts w:eastAsia="Times New Roman"/>
    </w:rPr>
  </w:style>
  <w:style w:type="paragraph" w:styleId="5">
    <w:name w:val="Body Text First Indent"/>
    <w:basedOn w:val="4"/>
    <w:next w:val="1"/>
    <w:qFormat/>
    <w:uiPriority w:val="0"/>
    <w:pPr>
      <w:spacing w:line="312" w:lineRule="auto"/>
      <w:ind w:firstLine="420" w:firstLineChars="100"/>
    </w:pPr>
    <w:rPr>
      <w:rFonts w:eastAsia="宋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8839</Words>
  <Characters>9538</Characters>
  <Lines>0</Lines>
  <Paragraphs>0</Paragraphs>
  <TotalTime>1</TotalTime>
  <ScaleCrop>false</ScaleCrop>
  <LinksUpToDate>false</LinksUpToDate>
  <CharactersWithSpaces>16629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2022-12-06T05:59:00Z</dcterms:created>
  <dc:creator>Administrator</dc:creator>
  <cp:lastModifiedBy>热带鱼</cp:lastModifiedBy>
  <dcterms:modified xsi:type="dcterms:W3CDTF">2025-08-23T13:20:21Z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C248CC4151BB4CBCAECFEEFEDE9C8DCB</vt:lpwstr>
  </property>
  <property fmtid="{D5CDD505-2E9C-101B-9397-08002B2CF9AE}" pid="4" name="KSOTemplateDocerSaveRecord">
    <vt:lpwstr>eyJoZGlkIjoiM2Q2MTU3ZWZhOGEyMTc3N2M2NGIxNzdkMDE4OGM2NTciLCJ1c2VySWQiOiI3MzE4OTgwMTcifQ==</vt:lpwstr>
  </property>
</Properties>
</file>