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版本号：ZCSP-白水县-2025-00204-06720250825002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2025年白水县杜康镇石狮村新建仓储大棚项目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ZCSP-白水县-2025-00204-067</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2025年白水县杜康镇石狮村新建仓储大棚项目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ZCSP-白水县-2025-00204-067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2025年白水县杜康镇石狮村新建仓储大棚项目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（一）建设地点：白水县杜康镇石狮村 （二）采购范围 1.2025年白水县杜康镇石狮村新建仓储大棚项目 2.具体工作包括：厂房一,地上一层;平面布置为矩形,轴线尺寸为38.0mX9.0m;消防建筑高度6.45m,女儿墙高度0.9m,规划建筑高度7.35m,建筑面积384.13㎡，厂房二,地上二层;平面布置为多变形,轴线尺寸为27.0mX17.2m;消防建筑高度7.65m,女儿墙高度0.9m,规划建筑高度8.55m,建筑面积 739.20㎡。 3.包含施工图纸和工程量清单中所列的所有项目、材料、设备、人工及措施。 4.包含施工过程中的垃圾清运、场地恢复、成品保护、验收配合、竣工资料编制与移交等一切为完成合格工程所需的工作。 （三）工期：自合同签订之日起60日历天内完成全部工程施工并达到验收条件。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采购包1（2025年白水县杜康镇石狮村新建仓储大棚项目）：属于专门面向中小企业采购。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1、营业执照等主体资格证明文件：提供有效存续的企业营业执照（含最新年度报告）</w:t>
      </w:r>
    </w:p>
    <w:p>
      <w:pPr>
        <w:pStyle w:val="null3"/>
      </w:pPr>
      <w:r>
        <w:rPr>
          <w:rFonts w:ascii="仿宋_GB2312" w:hAnsi="仿宋_GB2312" w:cs="仿宋_GB2312" w:eastAsia="仿宋_GB2312"/>
        </w:rPr>
        <w:t>2、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3、供应商资质证书：具备市政公用工程施工总承包二级及以上资质；</w:t>
      </w:r>
    </w:p>
    <w:p>
      <w:pPr>
        <w:pStyle w:val="null3"/>
      </w:pPr>
      <w:r>
        <w:rPr>
          <w:rFonts w:ascii="仿宋_GB2312" w:hAnsi="仿宋_GB2312" w:cs="仿宋_GB2312" w:eastAsia="仿宋_GB2312"/>
        </w:rPr>
        <w:t>4、供应商安全生产许可证：具备有效的安全生产许可证；</w:t>
      </w:r>
    </w:p>
    <w:p>
      <w:pPr>
        <w:pStyle w:val="null3"/>
      </w:pPr>
      <w:r>
        <w:rPr>
          <w:rFonts w:ascii="仿宋_GB2312" w:hAnsi="仿宋_GB2312" w:cs="仿宋_GB2312" w:eastAsia="仿宋_GB2312"/>
        </w:rPr>
        <w:t>5、项目经理：具备有效的市政公用工程专业二 级及以上注册建造师资格和有效的安全生产考 核合格证书（建安B证），且未担任其他在建建 设工程的项目经理（提供无在建项目承诺）；</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董王平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采购包1：1,773,005.27元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开户名称：鸿民国际工程（集团）有限公司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银行账号：103311740136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 交通知书时一次性付清。 开户名称：鸿民国际工程（集团）有限公司渭南分公司 开户银行：中国建设银行股份有限公司渭南朝阳大街支行 账 号：61050164500800000631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联系人：曹艳艳</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1,773,005.27</w:t>
      </w:r>
    </w:p>
    <w:p>
      <w:pPr>
        <w:pStyle w:val="null3"/>
      </w:pPr>
      <w:r>
        <w:rPr>
          <w:rFonts w:ascii="仿宋_GB2312" w:hAnsi="仿宋_GB2312" w:cs="仿宋_GB2312" w:eastAsia="仿宋_GB2312"/>
        </w:rPr>
        <w:t>采购包最高限价（元）: 1,773,005.27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2025年白水县杜康镇石狮村新建仓储大棚项目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1,773,005.27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2025年白水县杜康镇石狮村新建仓储大棚项目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16"/>
                <w:b/>
              </w:rPr>
              <w:t>技术要求</w:t>
            </w:r>
          </w:p>
          <w:p>
            <w:pPr>
              <w:pStyle w:val="null3"/>
              <w:ind w:firstLine="482"/>
              <w:jc w:val="left"/>
            </w:pPr>
            <w:r>
              <w:rPr>
                <w:rFonts w:ascii="仿宋_GB2312" w:hAnsi="仿宋_GB2312" w:cs="仿宋_GB2312" w:eastAsia="仿宋_GB2312"/>
                <w:sz w:val="16"/>
                <w:b/>
              </w:rPr>
              <w:t>一、</w:t>
            </w:r>
            <w:r>
              <w:rPr>
                <w:rFonts w:ascii="仿宋_GB2312" w:hAnsi="仿宋_GB2312" w:cs="仿宋_GB2312" w:eastAsia="仿宋_GB2312"/>
                <w:sz w:val="16"/>
                <w:b/>
              </w:rPr>
              <w:t>技术</w:t>
            </w:r>
            <w:r>
              <w:rPr>
                <w:rFonts w:ascii="仿宋_GB2312" w:hAnsi="仿宋_GB2312" w:cs="仿宋_GB2312" w:eastAsia="仿宋_GB2312"/>
                <w:sz w:val="16"/>
                <w:b/>
              </w:rPr>
              <w:t>依据</w:t>
            </w:r>
          </w:p>
          <w:p>
            <w:pPr>
              <w:pStyle w:val="null3"/>
              <w:ind w:firstLine="480"/>
              <w:jc w:val="left"/>
            </w:pPr>
            <w:r>
              <w:rPr>
                <w:rFonts w:ascii="仿宋_GB2312" w:hAnsi="仿宋_GB2312" w:cs="仿宋_GB2312" w:eastAsia="仿宋_GB2312"/>
                <w:sz w:val="16"/>
              </w:rPr>
              <w:t>1.必须严格遵循施工图纸和工程量清单的规定。</w:t>
            </w:r>
          </w:p>
          <w:p>
            <w:pPr>
              <w:pStyle w:val="null3"/>
              <w:ind w:firstLine="480"/>
              <w:jc w:val="left"/>
            </w:pPr>
            <w:r>
              <w:rPr>
                <w:rFonts w:ascii="仿宋_GB2312" w:hAnsi="仿宋_GB2312" w:cs="仿宋_GB2312" w:eastAsia="仿宋_GB2312"/>
                <w:sz w:val="16"/>
              </w:rPr>
              <w:t>2.必须满足与本工程相关的所有国家、省、市现行有效的规范、规程、标准。</w:t>
            </w:r>
          </w:p>
          <w:p>
            <w:pPr>
              <w:pStyle w:val="null3"/>
              <w:ind w:firstLine="482"/>
              <w:jc w:val="left"/>
            </w:pPr>
            <w:r>
              <w:rPr>
                <w:rFonts w:ascii="仿宋_GB2312" w:hAnsi="仿宋_GB2312" w:cs="仿宋_GB2312" w:eastAsia="仿宋_GB2312"/>
                <w:sz w:val="16"/>
                <w:b/>
              </w:rPr>
              <w:t>二、材料要求</w:t>
            </w:r>
          </w:p>
          <w:p>
            <w:pPr>
              <w:pStyle w:val="null3"/>
              <w:ind w:firstLine="480"/>
              <w:jc w:val="left"/>
            </w:pPr>
            <w:r>
              <w:rPr>
                <w:rFonts w:ascii="仿宋_GB2312" w:hAnsi="仿宋_GB2312" w:cs="仿宋_GB2312" w:eastAsia="仿宋_GB2312"/>
                <w:sz w:val="16"/>
              </w:rPr>
              <w:t>1.所有主要材料的品牌、规格型号、技术参数、颜色、环保等级必须符合设计图纸、工程量清单及上述国家/地方标准的要求。</w:t>
            </w:r>
          </w:p>
          <w:p>
            <w:pPr>
              <w:pStyle w:val="null3"/>
              <w:ind w:firstLine="480"/>
              <w:jc w:val="left"/>
            </w:pPr>
            <w:r>
              <w:rPr>
                <w:rFonts w:ascii="仿宋_GB2312" w:hAnsi="仿宋_GB2312" w:cs="仿宋_GB2312" w:eastAsia="仿宋_GB2312"/>
                <w:sz w:val="16"/>
              </w:rPr>
              <w:t>2.承包人须在材料进场前提供主要材料的样品供采购人/监理确认封样。提供出厂合格证、质量检验报告、环保检测报告（国家级检测机构出具）等质量证明文件原件。</w:t>
            </w:r>
          </w:p>
          <w:p>
            <w:pPr>
              <w:pStyle w:val="null3"/>
              <w:ind w:firstLine="480"/>
              <w:jc w:val="left"/>
            </w:pPr>
            <w:r>
              <w:rPr>
                <w:rFonts w:ascii="仿宋_GB2312" w:hAnsi="仿宋_GB2312" w:cs="仿宋_GB2312" w:eastAsia="仿宋_GB2312"/>
                <w:sz w:val="16"/>
              </w:rPr>
              <w:t>3.材料进场须报验，经采购人/监理现场抽样检验（或送第三方检测）合格后方可使用。不合格材料须立即退场。</w:t>
            </w:r>
          </w:p>
          <w:p>
            <w:pPr>
              <w:pStyle w:val="null3"/>
              <w:ind w:firstLine="482"/>
              <w:jc w:val="left"/>
            </w:pPr>
            <w:r>
              <w:rPr>
                <w:rFonts w:ascii="仿宋_GB2312" w:hAnsi="仿宋_GB2312" w:cs="仿宋_GB2312" w:eastAsia="仿宋_GB2312"/>
                <w:sz w:val="16"/>
                <w:b/>
              </w:rPr>
              <w:t>三、施工工艺与质量要求</w:t>
            </w:r>
          </w:p>
          <w:p>
            <w:pPr>
              <w:pStyle w:val="null3"/>
              <w:ind w:firstLine="480"/>
              <w:jc w:val="left"/>
            </w:pPr>
            <w:r>
              <w:rPr>
                <w:rFonts w:ascii="仿宋_GB2312" w:hAnsi="仿宋_GB2312" w:cs="仿宋_GB2312" w:eastAsia="仿宋_GB2312"/>
                <w:sz w:val="16"/>
              </w:rPr>
              <w:t>1.基层处理：彻底清理现有基层（如沥青、混凝土），达到无油污、无松散物、无积水、平整坚实的要求。如有缺陷（裂缝、起砂、不平整），须按设计要求修补处理。基层含水率、平整度需满足面层材料施工要求。</w:t>
            </w:r>
          </w:p>
          <w:p>
            <w:pPr>
              <w:pStyle w:val="null3"/>
              <w:ind w:firstLine="480"/>
              <w:jc w:val="left"/>
            </w:pPr>
            <w:r>
              <w:rPr>
                <w:rFonts w:ascii="仿宋_GB2312" w:hAnsi="仿宋_GB2312" w:cs="仿宋_GB2312" w:eastAsia="仿宋_GB2312"/>
                <w:sz w:val="16"/>
              </w:rPr>
              <w:t>2.悬浮地板安装：按厂家说明和专业规范进行铺设，确保拼缝紧密、平整、无翘曲，与边界收口牢固美观。注意排水坡度。</w:t>
            </w:r>
          </w:p>
          <w:p>
            <w:pPr>
              <w:pStyle w:val="null3"/>
              <w:ind w:firstLine="480"/>
              <w:jc w:val="left"/>
            </w:pPr>
            <w:r>
              <w:rPr>
                <w:rFonts w:ascii="仿宋_GB2312" w:hAnsi="仿宋_GB2312" w:cs="仿宋_GB2312" w:eastAsia="仿宋_GB2312"/>
                <w:sz w:val="16"/>
              </w:rPr>
              <w:t>3.人造草皮铺设：放线准确，草皮铺设方向一致、平整无褶皱。接缝粘接牢固、平整、无痕迹（使用专用接缝带和胶水）。填充颗粒（如设计有）均匀、饱满、符合高度要求。</w:t>
            </w:r>
          </w:p>
          <w:p>
            <w:pPr>
              <w:pStyle w:val="null3"/>
              <w:ind w:firstLine="480"/>
              <w:jc w:val="left"/>
            </w:pPr>
            <w:r>
              <w:rPr>
                <w:rFonts w:ascii="仿宋_GB2312" w:hAnsi="仿宋_GB2312" w:cs="仿宋_GB2312" w:eastAsia="仿宋_GB2312"/>
                <w:sz w:val="16"/>
              </w:rPr>
              <w:t>4.塑胶跑道喷涂：基础处理（打磨、清洁、底涂）符合要求。配料精确，搅拌均匀。喷涂施工环境（温度、湿度）符合材料要求，分层喷涂均匀、厚度一致、无气泡、无脱层、色泽均匀。划线清晰、准确、牢固。</w:t>
            </w:r>
          </w:p>
          <w:p>
            <w:pPr>
              <w:pStyle w:val="null3"/>
              <w:ind w:firstLine="480"/>
              <w:jc w:val="left"/>
            </w:pPr>
            <w:r>
              <w:rPr>
                <w:rFonts w:ascii="仿宋_GB2312" w:hAnsi="仿宋_GB2312" w:cs="仿宋_GB2312" w:eastAsia="仿宋_GB2312"/>
                <w:sz w:val="16"/>
              </w:rPr>
              <w:t>5.成品保护：各道工序完成后及整个施工期间，须采取有效措施保护已完成品，避免污染、损坏。</w:t>
            </w:r>
          </w:p>
          <w:p>
            <w:pPr>
              <w:pStyle w:val="null3"/>
              <w:ind w:firstLine="480"/>
              <w:jc w:val="left"/>
            </w:pPr>
            <w:r>
              <w:rPr>
                <w:rFonts w:ascii="仿宋_GB2312" w:hAnsi="仿宋_GB2312" w:cs="仿宋_GB2312" w:eastAsia="仿宋_GB2312"/>
                <w:sz w:val="16"/>
              </w:rPr>
              <w:t>6.安全文明施工：遵守安全操作规程，设置安全警示标识，保持施工现场整洁有序，控制扬尘、噪音、废弃物排放符合环保要求。</w:t>
            </w:r>
          </w:p>
          <w:p>
            <w:pPr>
              <w:pStyle w:val="null3"/>
              <w:ind w:firstLine="482"/>
              <w:jc w:val="left"/>
            </w:pPr>
            <w:r>
              <w:rPr>
                <w:rFonts w:ascii="仿宋_GB2312" w:hAnsi="仿宋_GB2312" w:cs="仿宋_GB2312" w:eastAsia="仿宋_GB2312"/>
                <w:sz w:val="16"/>
                <w:b/>
              </w:rPr>
              <w:t>四、</w:t>
            </w:r>
            <w:r>
              <w:rPr>
                <w:rFonts w:ascii="仿宋_GB2312" w:hAnsi="仿宋_GB2312" w:cs="仿宋_GB2312" w:eastAsia="仿宋_GB2312"/>
                <w:sz w:val="16"/>
                <w:b/>
              </w:rPr>
              <w:t>验收标准</w:t>
            </w:r>
          </w:p>
          <w:p>
            <w:pPr>
              <w:pStyle w:val="null3"/>
              <w:ind w:firstLine="480"/>
              <w:jc w:val="left"/>
            </w:pPr>
            <w:r>
              <w:rPr>
                <w:rFonts w:ascii="仿宋_GB2312" w:hAnsi="仿宋_GB2312" w:cs="仿宋_GB2312" w:eastAsia="仿宋_GB2312"/>
                <w:sz w:val="16"/>
              </w:rPr>
              <w:t>1.工程完工后，按国家、地方相关施工质量验收规范及设计文件要求进行竣工验收。</w:t>
            </w:r>
          </w:p>
          <w:p>
            <w:pPr>
              <w:pStyle w:val="null3"/>
              <w:ind w:firstLine="480"/>
              <w:jc w:val="left"/>
            </w:pPr>
            <w:r>
              <w:rPr>
                <w:rFonts w:ascii="仿宋_GB2312" w:hAnsi="仿宋_GB2312" w:cs="仿宋_GB2312" w:eastAsia="仿宋_GB2312"/>
                <w:sz w:val="16"/>
              </w:rPr>
              <w:t>2.承包人须先进行自检，合格后提交完整的竣工资料和验收申请。</w:t>
            </w:r>
          </w:p>
          <w:p>
            <w:pPr>
              <w:pStyle w:val="null3"/>
              <w:ind w:firstLine="480"/>
              <w:jc w:val="left"/>
            </w:pPr>
            <w:r>
              <w:rPr>
                <w:rFonts w:ascii="仿宋_GB2312" w:hAnsi="仿宋_GB2312" w:cs="仿宋_GB2312" w:eastAsia="仿宋_GB2312"/>
                <w:sz w:val="16"/>
              </w:rPr>
              <w:t>3.验收内容包括：工程实体质量（观感、尺寸、性能）、竣工资料完整性、环保检测报告（现场取样送第三方检测机构，检测项目应覆盖相关国标强制要求）。</w:t>
            </w:r>
          </w:p>
          <w:p>
            <w:pPr>
              <w:pStyle w:val="null3"/>
              <w:ind w:firstLine="480"/>
              <w:jc w:val="left"/>
            </w:pPr>
            <w:r>
              <w:rPr>
                <w:rFonts w:ascii="仿宋_GB2312" w:hAnsi="仿宋_GB2312" w:cs="仿宋_GB2312" w:eastAsia="仿宋_GB2312"/>
                <w:sz w:val="16"/>
              </w:rPr>
              <w:t>4.主要技术指标（如跑道厚度、物理性能、环保指标；草皮铺设质量；悬浮地板平整度等）必须达到设计和规范要求的“合格”等级。</w:t>
            </w:r>
          </w:p>
          <w:p>
            <w:pPr>
              <w:pStyle w:val="null3"/>
              <w:ind w:firstLine="480"/>
              <w:jc w:val="left"/>
            </w:pPr>
            <w:r>
              <w:rPr>
                <w:rFonts w:ascii="仿宋_GB2312" w:hAnsi="仿宋_GB2312" w:cs="仿宋_GB2312" w:eastAsia="仿宋_GB2312"/>
                <w:sz w:val="16"/>
              </w:rPr>
              <w:t>5.验收不合格，承包人须按验收意见限期整改，直至复验合格。</w:t>
            </w:r>
          </w:p>
          <w:p>
            <w:pPr>
              <w:pStyle w:val="null3"/>
              <w:ind w:firstLine="482"/>
              <w:jc w:val="left"/>
            </w:pPr>
            <w:r>
              <w:rPr>
                <w:rFonts w:ascii="仿宋_GB2312" w:hAnsi="仿宋_GB2312" w:cs="仿宋_GB2312" w:eastAsia="仿宋_GB2312"/>
                <w:sz w:val="16"/>
                <w:b/>
              </w:rPr>
              <w:t>五、工程量清单</w:t>
            </w:r>
          </w:p>
          <w:p>
            <w:pPr>
              <w:pStyle w:val="null3"/>
              <w:ind w:firstLine="480"/>
              <w:jc w:val="left"/>
            </w:pPr>
            <w:r>
              <w:rPr>
                <w:rFonts w:ascii="仿宋_GB2312" w:hAnsi="仿宋_GB2312" w:cs="仿宋_GB2312" w:eastAsia="仿宋_GB2312"/>
                <w:sz w:val="16"/>
              </w:rPr>
              <w:t>1.作为报价和结算的核心依据，承包人须严格按照清单描述的项目特征、工作内容、计量规则进行施工和计量。</w:t>
            </w:r>
          </w:p>
          <w:p>
            <w:pPr>
              <w:pStyle w:val="null3"/>
              <w:ind w:firstLine="480"/>
              <w:jc w:val="left"/>
            </w:pPr>
            <w:r>
              <w:rPr>
                <w:rFonts w:ascii="仿宋_GB2312" w:hAnsi="仿宋_GB2312" w:cs="仿宋_GB2312" w:eastAsia="仿宋_GB2312"/>
                <w:sz w:val="16"/>
              </w:rPr>
              <w:t>2.清单中未列但为完成图纸所示工程不可或缺的工作，其费用应视为已分摊在相关清单项目中。承包人须仔细复核清单，理解其包含范围。</w:t>
            </w:r>
          </w:p>
          <w:p>
            <w:pPr>
              <w:pStyle w:val="null3"/>
              <w:ind w:firstLine="482"/>
              <w:jc w:val="left"/>
            </w:pPr>
            <w:r>
              <w:rPr>
                <w:rFonts w:ascii="仿宋_GB2312" w:hAnsi="仿宋_GB2312" w:cs="仿宋_GB2312" w:eastAsia="仿宋_GB2312"/>
                <w:sz w:val="16"/>
                <w:b/>
              </w:rPr>
              <w:t>六、其他技术要求</w:t>
            </w:r>
          </w:p>
          <w:p>
            <w:pPr>
              <w:pStyle w:val="null3"/>
              <w:ind w:firstLine="480"/>
              <w:jc w:val="left"/>
            </w:pPr>
            <w:r>
              <w:rPr>
                <w:rFonts w:ascii="仿宋_GB2312" w:hAnsi="仿宋_GB2312" w:cs="仿宋_GB2312" w:eastAsia="仿宋_GB2312"/>
                <w:sz w:val="16"/>
              </w:rPr>
              <w:t>1.施工组织设计：承包人中标后须提交详细的施工组织设计（含施工方案、进度计划、质量安全保证措施、劳动力设备计划、应急预案等），经采购人/监理审批后实施。</w:t>
            </w:r>
          </w:p>
          <w:p>
            <w:pPr>
              <w:pStyle w:val="null3"/>
              <w:ind w:firstLine="480"/>
              <w:jc w:val="left"/>
            </w:pPr>
            <w:r>
              <w:rPr>
                <w:rFonts w:ascii="仿宋_GB2312" w:hAnsi="仿宋_GB2312" w:cs="仿宋_GB2312" w:eastAsia="仿宋_GB2312"/>
                <w:sz w:val="16"/>
              </w:rPr>
              <w:t>2.项目经理与技术负责人：承包人须指派具备相应资格和经验的项目经理及技术负责人常驻现场，未经许可不得更换。</w:t>
            </w:r>
          </w:p>
          <w:p>
            <w:pPr>
              <w:pStyle w:val="null3"/>
              <w:ind w:firstLine="480"/>
              <w:jc w:val="left"/>
            </w:pPr>
            <w:r>
              <w:rPr>
                <w:rFonts w:ascii="仿宋_GB2312" w:hAnsi="仿宋_GB2312" w:cs="仿宋_GB2312" w:eastAsia="仿宋_GB2312"/>
                <w:sz w:val="16"/>
              </w:rPr>
              <w:t>3.环保与安全：所有材料必须符合国家环保强制标准（特别是针对学校场所），施工过程确保师生安全和校园环境。</w:t>
            </w:r>
          </w:p>
          <w:p>
            <w:pPr>
              <w:pStyle w:val="null3"/>
              <w:spacing w:before="105" w:after="10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 2.工程质量必须符合国家、省、市现行有效的施工质量验收规范、规程和标准。 3.工程质量等级目标：一次验收 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因承包人原因造成质量不合格，须无条件返工至合格，并承担由此产生的一切费用及延误责任。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一、采购范围 1.2025年白水县杜康镇石狮村新建仓储大棚项目 2.具体工作包括：厂房一,地上一层;平面布置为矩形,轴线尺寸为38.0mX9.0m;消防建筑高度6.45m,女儿墙高度0.9m,规划建筑高度7.35m,建筑面积384.13㎡，厂房二,地上二层;平面布置为多变形,轴线尺寸为27.0mX17.2m;消防建筑高度7.65m,女儿墙高度0.9m,规划建筑高度8.55m,建筑面积 739.20㎡。 3.包含施工图纸和工程量清单中所列的所有项目、材料、设备、人工及措施。 4.包含施工过程中的垃圾清运、场地恢复、成品保护、验收配合、竣工资料编制与移交等一切为完成合格工程所需的工作。 二、工期 自合同签订之日起60日历天内完成全部工程施工并达到验收条件。 三、付款方式 见本合同包竞争性磋商文件第八章合同条款。 四、承包方式 1.施工总承包 2.承包人须对工程的质量、安全、工期、造价全面负责。 3.承包人须自行解决施工所需的水、电、临时设施等。 五、质量标准 1.合格 2.工程质量必须符合国家、省、市现行有效的施工质量验收规范、规程和标准。 3.工程质量等级目标：一次验收合格率100%。 4.因承包人原因造成质量不合格，须无条件返工至合格，并承担由此产生的一切费用及延误责任。 六、合同与履约 1.保险：承包人须为工程投保建筑工程一切险和第三者责任险，并承担费用。施工人员意外伤害险按国家规定办理。 2.变更与签证：见本合同包竞争性磋商文件第八章合同条款。 3.违约责任：见本合同包竞争性磋商文件第八章合同条款。 4.争议解决：见本合同包竞争性磋商文件第八章合同条款。 5.其他条款：见本合同包竞争性磋商文件第八章合同条款。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 采购标的对应的中小企业划分标准所属行业为 建筑业。建筑业的划型标准为：营业收入8000 0万元以下或资产总额80000万元以下的为中小 微型企业。其中，营业收入6000万元及以上， 且资产总额5000万元及以上的为中型企业；营 业收入300万元及以上，且资产总额300万元及 以上的为小型企业；营业收入300万元以下或资 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供应商资质证书</w:t>
            </w:r>
          </w:p>
        </w:tc>
        <w:tc>
          <w:tcPr>
            <w:tcW w:type="dxa" w:w="3322"/>
          </w:tcPr>
          <w:p>
            <w:pPr>
              <w:pStyle w:val="null3"/>
            </w:pPr>
            <w:r>
              <w:rPr>
                <w:rFonts w:ascii="仿宋_GB2312" w:hAnsi="仿宋_GB2312" w:cs="仿宋_GB2312" w:eastAsia="仿宋_GB2312"/>
              </w:rPr>
              <w:t>具备市政公用工程施工总承包二级及以上资质；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供应商安全生产许可证</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具备有效的市政公用工程专业二 级及以上注册建造师资格和有效的安全生产考 核合格证书（建安B证），且未担任其他在建建 设工程的项目经理（提供无在建项目承诺）；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已标价工程量清单 中小企业声明函 拟派项目负责人简历表.pdf 技术服务合同条款及其他商务要求应答表 近年完成的类似项目情况表.pdf 施工组织设计.docx 资格证明文件.docx 响应文件封面 残疾人福利性单位声明函 报价函 标的清单 拟投入本项目人员配置情况表.pdf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 其授权代表签字盖章满足磋商文件的要求</w:t>
            </w:r>
          </w:p>
        </w:tc>
        <w:tc>
          <w:tcPr>
            <w:tcW w:type="dxa" w:w="1661"/>
          </w:tcPr>
          <w:p>
            <w:pPr>
              <w:pStyle w:val="null3"/>
            </w:pPr>
            <w:r>
              <w:rPr>
                <w:rFonts w:ascii="仿宋_GB2312" w:hAnsi="仿宋_GB2312" w:cs="仿宋_GB2312" w:eastAsia="仿宋_GB2312"/>
              </w:rPr>
              <w:t>已标价工程量清单 中小企业声明函 拟派项目负责人简历表.pdf 技术服务合同条款及其他商务要求应答表 近年完成的类似项目情况表.pdf 施工组织设计.docx 资格证明文件.docx 响应文件封面 残疾人福利性单位声明函 报价函 标的清单 拟投入本项目人员配置情况表.pdf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 磋商报价未超出采购预算</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供应商2022年1月1日至响应文件递交截止之日具有类似项目已完成的施工业绩（以合同签订时间为准），提供1个得1分，满分5分。 评审依据：业绩证明材料包括①中标（成交）通知书②施工合同。以加盖单位公章的复印件或扫描件为准。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近年完成的类似项目情况表.pdf</w:t>
            </w:r>
          </w:p>
        </w:tc>
      </w:tr>
      <w:tr>
        <w:tc>
          <w:tcPr>
            <w:tcW w:type="dxa" w:w="831"/>
            <w:vMerge/>
          </w:tcPr>
          <w:p/>
        </w:tc>
        <w:tc>
          <w:tcPr>
            <w:tcW w:type="dxa" w:w="1661"/>
          </w:tcPr>
          <w:p>
            <w:pPr>
              <w:pStyle w:val="null3"/>
            </w:pPr>
            <w:r>
              <w:rPr>
                <w:rFonts w:ascii="仿宋_GB2312" w:hAnsi="仿宋_GB2312" w:cs="仿宋_GB2312" w:eastAsia="仿宋_GB2312"/>
              </w:rPr>
              <w:t>项目经理资历和业绩</w:t>
            </w:r>
          </w:p>
        </w:tc>
        <w:tc>
          <w:tcPr>
            <w:tcW w:type="dxa" w:w="2492"/>
          </w:tcPr>
          <w:p>
            <w:pPr>
              <w:pStyle w:val="null3"/>
            </w:pPr>
            <w:r>
              <w:rPr>
                <w:rFonts w:ascii="仿宋_GB2312" w:hAnsi="仿宋_GB2312" w:cs="仿宋_GB2312" w:eastAsia="仿宋_GB2312"/>
              </w:rPr>
              <w:t>①项目经理具备工程类职称：中级及以上得3分，其他不得分； 评审依据：以供应商加盖公章的职称证电子证书或复印件或扫描件为准。 ②项目经理业绩：2022年1月1日至响应文件递交截止之日具有类似项目已完成的施工业绩（以合同签订时间为准），提供1个得1分，满分2分。 评审依据：业绩证明材料包括①中标（成交）通知书②施工合同。证明材料需体现项目经理姓名，否则不予认定。业绩可以与企业类似业绩重复，以供应商加盖公章的复印件或扫描件为准。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拟派项目负责人简历表.pdf</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①基本要求：项目部人员组成除项目经理外不少于5人，配备施工员、质量员、安全员、材料员、资料员各1人，满足此项要求得基本分8分，少1人扣1.6分，扣完为止； ②在满足基本要求的基础上，每增加1人（新增岗位或岗位新增人员）加0.5分，最多加2分。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a.机械设备配备齐全、科学、合理，完全匹配项目需求，列明型号、数量及进场计划，得4.1～5分； b.机械设备配备较齐全、合理，基本满足项目需求，但部分设备未明确计划或型号，得3.1～4分； c.配备一般，无重大遗漏，但未详细说明合理性或计划，得3分； d.不响应或无此项内容得0分；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a.方案内容全面，技术措施先进，针对关键工序有详细工艺流程图及质量控制点，可操作性强，得8.1～10分； b.方案较全面，技术措施可行，但部分工序描述简略或缺乏细节，得6.1～8分； c.方案基本可行，但无显著亮点或针对性，得6分； d.不响应或无此项内容得0分。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a.进度计划采用网络图/横道图，关键线路清晰；对天气、设备故障、交叉施工等风险有3项以上具体应对措施，逻辑严谨，得6.5～8分； b.进度计划完整，有基本保障措施，但风险应对仅1～2项或缺乏细节,得4.9～6.4分； c.仅提供通用性工期保证措施，无项目特异性，得4.8分；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a.质量安全目标明确，分项控制指标量化；针对高风险工序有专项预案及演练计划，得6.5～8分； b.质量安全措施完整，但部分控制指标未量化或预案缺乏细节，得4.9～6.4分； c.仅提供通用性承诺，无具体控制手段，得4.8分；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a.提出创新性环保措施（如扬尘实时监测、废水循环利用）；文明施工细化至材料堆放、标牌设置、社区沟通等具体环节，得5.7～7分； b.环保措施符合法规要求，文明施工有基本规划但未细化，得4.3～5.6分； c.仅提供模板化环保承诺，得4.2分； d.不响应或无此项内容得0分。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a.风险清单全面（≥5类），应急预案包含响应流程、责任人及备用资源（如备用发电机、医疗点），得1.6～2分； b.风险清单一般（3～4类），预案仅有流程无资源保障，得1.2～1.5分； c.仅列举风险无具体预案得0分。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详见附件：近年完成的类似项目情况表.pdf</w:t>
      </w:r>
    </w:p>
    <w:p>
      <w:pPr>
        <w:pStyle w:val="null3"/>
        <w:ind w:firstLine="960"/>
      </w:pPr>
      <w:r>
        <w:rPr>
          <w:rFonts w:ascii="仿宋_GB2312" w:hAnsi="仿宋_GB2312" w:cs="仿宋_GB2312" w:eastAsia="仿宋_GB2312"/>
        </w:rPr>
        <w:t>详见附件：拟派项目负责人简历表.pdf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