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版本号：ZYHY-2025-ZB2420250905002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2024年白水县建制村通双车道工程（南桥村通村路）</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ZYHY-2025-ZB24</w:t>
      </w:r>
      <w:r>
        <w:br/>
      </w:r>
      <w:r>
        <w:br/>
      </w:r>
      <w:r>
        <w:br/>
      </w:r>
    </w:p>
    <w:p>
      <w:pPr>
        <w:pStyle w:val="null3"/>
        <w:jc w:val="center"/>
        <w:outlineLvl w:val="2"/>
      </w:pPr>
      <w:r>
        <w:rPr>
          <w:rFonts w:ascii="仿宋_GB2312" w:hAnsi="仿宋_GB2312" w:cs="仿宋_GB2312" w:eastAsia="仿宋_GB2312"/>
          <w:sz w:val="28"/>
          <w:b/>
        </w:rPr>
        <w:t>白水县交通运输局</w:t>
      </w:r>
    </w:p>
    <w:p>
      <w:pPr>
        <w:pStyle w:val="null3"/>
        <w:jc w:val="center"/>
        <w:outlineLvl w:val="2"/>
      </w:pPr>
      <w:r>
        <w:rPr>
          <w:rFonts w:ascii="仿宋_GB2312" w:hAnsi="仿宋_GB2312" w:cs="仿宋_GB2312" w:eastAsia="仿宋_GB2312"/>
          <w:sz w:val="28"/>
          <w:b/>
        </w:rPr>
        <w:t>陕西中裕恒越项目管理有限公司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陕西中裕恒越项目管理有限公司</w:t>
      </w:r>
      <w:r>
        <w:rPr>
          <w:rFonts w:ascii="仿宋_GB2312" w:hAnsi="仿宋_GB2312" w:cs="仿宋_GB2312" w:eastAsia="仿宋_GB2312"/>
        </w:rPr>
        <w:t>（以下简称“代理机构”）受</w:t>
      </w:r>
      <w:r>
        <w:rPr>
          <w:rFonts w:ascii="仿宋_GB2312" w:hAnsi="仿宋_GB2312" w:cs="仿宋_GB2312" w:eastAsia="仿宋_GB2312"/>
        </w:rPr>
        <w:t>白水县交通运输局</w:t>
      </w:r>
      <w:r>
        <w:rPr>
          <w:rFonts w:ascii="仿宋_GB2312" w:hAnsi="仿宋_GB2312" w:cs="仿宋_GB2312" w:eastAsia="仿宋_GB2312"/>
        </w:rPr>
        <w:t>委托，拟对</w:t>
      </w:r>
      <w:r>
        <w:rPr>
          <w:rFonts w:ascii="仿宋_GB2312" w:hAnsi="仿宋_GB2312" w:cs="仿宋_GB2312" w:eastAsia="仿宋_GB2312"/>
        </w:rPr>
        <w:t>2024年白水县建制村通双车道工程（南桥村通村路）</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ZYHY-2025-ZB24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2024年白水县建制村通双车道工程（南桥村通村路）</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本项目位于白水县城以南，总体呈南北走向，路线起点位于白水县城接雷公路，向南沿旧路经南桥村，终点位于城关镇两仙庙接208省道，路线全长4.300 公里（具体以图纸及工程量清单为准）。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采购包1（2024年白水县建制村通双车道工程（南桥村通村路））：属于专门面向中小企业采购。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1、财务状况报告：财务状况报告 提供2024年财务审计报告（成立时间至开标时间不足一年的可提供成立后任意时段的资产负债表）或提供投标截止日期前三个月内其基本存款账户开户银行出具的资信证明（附开户许可证或开户备案证明或基本账户信息）（扫描件加盖供应商公章）；</w:t>
      </w:r>
    </w:p>
    <w:p>
      <w:pPr>
        <w:pStyle w:val="null3"/>
      </w:pPr>
      <w:r>
        <w:rPr>
          <w:rFonts w:ascii="仿宋_GB2312" w:hAnsi="仿宋_GB2312" w:cs="仿宋_GB2312" w:eastAsia="仿宋_GB2312"/>
        </w:rPr>
        <w:t>2、有效的主体资格证明：提供合格有效的法人或者其他组织的营业执照等证明文件或自然人的身份证明（证书电子版或扫描件加盖供应商公章）</w:t>
      </w:r>
    </w:p>
    <w:p>
      <w:pPr>
        <w:pStyle w:val="null3"/>
      </w:pPr>
      <w:r>
        <w:rPr>
          <w:rFonts w:ascii="仿宋_GB2312" w:hAnsi="仿宋_GB2312" w:cs="仿宋_GB2312" w:eastAsia="仿宋_GB2312"/>
        </w:rPr>
        <w:t>3、税收缴纳证明：提供2025年1月1日至响应文件递交截止之日任意一个月的纳税证明或完税证明（时间以税款所属日期为准，凭据应有税务机关或代收机关的公章或业务专用章。依法免税或无须缴纳税收的供应商，应提供相应证明文件）（电子版或扫描件加盖供应商公章）</w:t>
      </w:r>
    </w:p>
    <w:p>
      <w:pPr>
        <w:pStyle w:val="null3"/>
      </w:pPr>
      <w:r>
        <w:rPr>
          <w:rFonts w:ascii="仿宋_GB2312" w:hAnsi="仿宋_GB2312" w:cs="仿宋_GB2312" w:eastAsia="仿宋_GB2312"/>
        </w:rPr>
        <w:t>4、社会保障资金缴纳证明：提供2025年1月1日至响应文件递交截止之日任意一个月的社会保障资金缴存单据或社保机构开具的社会保险参保缴费情况证明（依法不需要缴纳社会保障资金的供应商应提供相关证明文件）（电子版或扫描件加盖供应商公章）</w:t>
      </w:r>
    </w:p>
    <w:p>
      <w:pPr>
        <w:pStyle w:val="null3"/>
      </w:pPr>
      <w:r>
        <w:rPr>
          <w:rFonts w:ascii="仿宋_GB2312" w:hAnsi="仿宋_GB2312" w:cs="仿宋_GB2312" w:eastAsia="仿宋_GB2312"/>
        </w:rPr>
        <w:t>5、无重大违法记录声明：参加政府采购活动近3年内，在经营活动中没有重大违法记录的书面声明</w:t>
      </w:r>
    </w:p>
    <w:p>
      <w:pPr>
        <w:pStyle w:val="null3"/>
      </w:pPr>
      <w:r>
        <w:rPr>
          <w:rFonts w:ascii="仿宋_GB2312" w:hAnsi="仿宋_GB2312" w:cs="仿宋_GB2312" w:eastAsia="仿宋_GB2312"/>
        </w:rPr>
        <w:t>6、专业技术能力证明：具备履行合同所必需的设备和专业技术能力的证明材料（由投标人根据项目需求提供说明材料或者承诺）</w:t>
      </w:r>
    </w:p>
    <w:p>
      <w:pPr>
        <w:pStyle w:val="null3"/>
      </w:pPr>
      <w:r>
        <w:rPr>
          <w:rFonts w:ascii="仿宋_GB2312" w:hAnsi="仿宋_GB2312" w:cs="仿宋_GB2312" w:eastAsia="仿宋_GB2312"/>
        </w:rPr>
        <w:t>7、企业资质：公路工程施工总承包三级（及以上资质）</w:t>
      </w:r>
    </w:p>
    <w:p>
      <w:pPr>
        <w:pStyle w:val="null3"/>
      </w:pPr>
      <w:r>
        <w:rPr>
          <w:rFonts w:ascii="仿宋_GB2312" w:hAnsi="仿宋_GB2312" w:cs="仿宋_GB2312" w:eastAsia="仿宋_GB2312"/>
        </w:rPr>
        <w:t>8、安全生产许可证：具备有效的安全生产许可证</w:t>
      </w:r>
    </w:p>
    <w:p>
      <w:pPr>
        <w:pStyle w:val="null3"/>
      </w:pPr>
      <w:r>
        <w:rPr>
          <w:rFonts w:ascii="仿宋_GB2312" w:hAnsi="仿宋_GB2312" w:cs="仿宋_GB2312" w:eastAsia="仿宋_GB2312"/>
        </w:rPr>
        <w:t>9、拟派项目负责人资质和专业要求：证书等级：二级及以上注册建造师证 专业：公路工程专业 补充说明：注册单位须与供应商名称相同，并持有交通主管部门颁发的《安全生产考核合格证书》（交安B），无在岗项目，无不良记录（证书电子版或扫描件加盖投标人公章；无在岗项目提供无在建承诺书；无不良记录提供“全国建筑市场监管公共服务平台”截图）</w:t>
      </w:r>
    </w:p>
    <w:p>
      <w:pPr>
        <w:pStyle w:val="null3"/>
      </w:pPr>
      <w:r>
        <w:rPr>
          <w:rFonts w:ascii="仿宋_GB2312" w:hAnsi="仿宋_GB2312" w:cs="仿宋_GB2312" w:eastAsia="仿宋_GB2312"/>
        </w:rPr>
        <w:t>10、法定代表人（负责人）委托授权书\身份证明：法定代表人参加磋商的，须提供本人身份证复印件（附在资格证明文件中）；法定代表人授权他人参加投标的，须提供法定代表人授权委托书、授权代表身份证、授权代表本单位证明（在供应商单位近3个月内任意一个月缴纳的养老保险证明）。响应文件中凡是需要法定代表人盖章之处，非法人单位的负责人均参照执行；</w:t>
      </w:r>
    </w:p>
    <w:p>
      <w:pPr>
        <w:pStyle w:val="null3"/>
      </w:pPr>
      <w:r>
        <w:rPr>
          <w:rFonts w:ascii="仿宋_GB2312" w:hAnsi="仿宋_GB2312" w:cs="仿宋_GB2312" w:eastAsia="仿宋_GB2312"/>
        </w:rPr>
        <w:t>11、信用查询：在“信用中国”网站（www.creditchina.gov.cn）和“中国政府采购网”（ccgp.gov.cn）对供应商信用信息进行查询，如果供应商被查实在开标前已列入失信被执行人、重大税收违法失信主体、政府采购严重违法失信行为记录名单，其投标为无效（提供截图加盖供应商公章）</w:t>
      </w:r>
    </w:p>
    <w:p>
      <w:pPr>
        <w:pStyle w:val="null3"/>
      </w:pPr>
      <w:r>
        <w:rPr>
          <w:rFonts w:ascii="仿宋_GB2312" w:hAnsi="仿宋_GB2312" w:cs="仿宋_GB2312" w:eastAsia="仿宋_GB2312"/>
        </w:rPr>
        <w:t>12、磋商保证金：磋商保证金缴纳凭证或担保机构出具的保函。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白水县交通运输局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陕西省渭南市白水县东风路西段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梁小朋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13572354357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陕西中裕恒越项目管理有限公司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陕西省西安市新城区陕西省西安市新城区长缨西路1号万和城3号楼807室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19929071937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13991639110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采购包1：2,133,984.00元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开户名称：陕西中裕恒越项目管理有限公司</w:t>
            </w:r>
          </w:p>
          <w:p>
            <w:pPr>
              <w:pStyle w:val="null3"/>
            </w:pPr>
            <w:r>
              <w:rPr>
                <w:rFonts w:ascii="仿宋_GB2312" w:hAnsi="仿宋_GB2312" w:cs="仿宋_GB2312" w:eastAsia="仿宋_GB2312"/>
              </w:rPr>
              <w:t>开户银行：中国银行股份有限公司西安南郊支行</w:t>
            </w:r>
          </w:p>
          <w:p>
            <w:pPr>
              <w:pStyle w:val="null3"/>
            </w:pPr>
            <w:r>
              <w:rPr>
                <w:rFonts w:ascii="仿宋_GB2312" w:hAnsi="仿宋_GB2312" w:cs="仿宋_GB2312" w:eastAsia="仿宋_GB2312"/>
              </w:rPr>
              <w:t>银行账号：1028 9278 7177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代理服务费收费标准：本项目收取招标代理服务费及最高限价编制费 代理服务费收费标准：参照国家计委计价格〔2002〕1980号、发改办价格〔2003〕857号、发改价格〔2011〕534号文件规定的标准（以中标金额为计算基数）的95%计取。 最高限价编制费：参照《陕西省物价局陕西省住房和城乡建设厅关于我省工程造价咨询服务收费标准有关问题的通知》(陕价行发【2014】88号)中工程量清单计价(含清单编制)的95%计取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白水县交通运输局</w:t>
      </w:r>
      <w:r>
        <w:rPr>
          <w:rFonts w:ascii="仿宋_GB2312" w:hAnsi="仿宋_GB2312" w:cs="仿宋_GB2312" w:eastAsia="仿宋_GB2312"/>
        </w:rPr>
        <w:t>和</w:t>
      </w:r>
      <w:r>
        <w:rPr>
          <w:rFonts w:ascii="仿宋_GB2312" w:hAnsi="仿宋_GB2312" w:cs="仿宋_GB2312" w:eastAsia="仿宋_GB2312"/>
        </w:rPr>
        <w:t>陕西中裕恒越项目管理有限公司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白水县交通运输局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陕西中裕恒越项目管理有限公司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白水县交通运输局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陕西中裕恒越项目管理有限公司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陕西中裕恒越项目管理有限公司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陕西中裕恒越项目管理有限公司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陕西中裕恒越项目管理有限公司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联系人：苏工</w:t>
      </w:r>
    </w:p>
    <w:p>
      <w:pPr>
        <w:pStyle w:val="null3"/>
      </w:pPr>
      <w:r>
        <w:rPr>
          <w:rFonts w:ascii="仿宋_GB2312" w:hAnsi="仿宋_GB2312" w:cs="仿宋_GB2312" w:eastAsia="仿宋_GB2312"/>
        </w:rPr>
        <w:t>联系电话：19929071937</w:t>
      </w:r>
    </w:p>
    <w:p>
      <w:pPr>
        <w:pStyle w:val="null3"/>
      </w:pPr>
      <w:r>
        <w:rPr>
          <w:rFonts w:ascii="仿宋_GB2312" w:hAnsi="仿宋_GB2312" w:cs="仿宋_GB2312" w:eastAsia="仿宋_GB2312"/>
        </w:rPr>
        <w:t>地址：西安市新城区长缨西路1号华东万和城3号楼807室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2,133,984.00</w:t>
      </w:r>
    </w:p>
    <w:p>
      <w:pPr>
        <w:pStyle w:val="null3"/>
      </w:pPr>
      <w:r>
        <w:rPr>
          <w:rFonts w:ascii="仿宋_GB2312" w:hAnsi="仿宋_GB2312" w:cs="仿宋_GB2312" w:eastAsia="仿宋_GB2312"/>
        </w:rPr>
        <w:t>采购包最高限价（元）: 2,133,984.00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 2024年白水县建制村通双车道工程（南桥村通村路）</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2,133,984.00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 2024年白水县建制村通双车道工程（南桥村通村路）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一、工程概况</w:t>
            </w:r>
          </w:p>
          <w:p>
            <w:pPr>
              <w:pStyle w:val="null3"/>
              <w:jc w:val="both"/>
            </w:pPr>
            <w:r>
              <w:rPr>
                <w:rFonts w:ascii="仿宋_GB2312" w:hAnsi="仿宋_GB2312" w:cs="仿宋_GB2312" w:eastAsia="仿宋_GB2312"/>
                <w:sz w:val="24"/>
              </w:rPr>
              <w:t>总体呈南北走向，路线起点位于白水县城接雷公路，向南沿旧路经南桥村，终点位于城关镇两仙庙接208省道，路线全长4.300公里。</w:t>
            </w:r>
          </w:p>
          <w:p>
            <w:pPr>
              <w:pStyle w:val="null3"/>
              <w:jc w:val="both"/>
            </w:pPr>
            <w:r>
              <w:rPr>
                <w:rFonts w:ascii="仿宋_GB2312" w:hAnsi="仿宋_GB2312" w:cs="仿宋_GB2312" w:eastAsia="仿宋_GB2312"/>
                <w:sz w:val="24"/>
              </w:rPr>
              <w:t>本次主要设计内容包括：路基、路面、桥梁、交通工程等。</w:t>
            </w:r>
          </w:p>
          <w:p>
            <w:pPr>
              <w:pStyle w:val="null3"/>
              <w:jc w:val="both"/>
            </w:pPr>
            <w:r>
              <w:rPr>
                <w:rFonts w:ascii="仿宋_GB2312" w:hAnsi="仿宋_GB2312" w:cs="仿宋_GB2312" w:eastAsia="仿宋_GB2312"/>
                <w:sz w:val="24"/>
              </w:rPr>
              <w:t>建设地点：白水县城以南。</w:t>
            </w:r>
          </w:p>
          <w:p>
            <w:pPr>
              <w:pStyle w:val="null3"/>
              <w:jc w:val="both"/>
            </w:pPr>
            <w:r>
              <w:rPr>
                <w:rFonts w:ascii="仿宋_GB2312" w:hAnsi="仿宋_GB2312" w:cs="仿宋_GB2312" w:eastAsia="仿宋_GB2312"/>
                <w:sz w:val="24"/>
              </w:rPr>
              <w:t>二、编制依据</w:t>
            </w:r>
          </w:p>
          <w:p>
            <w:pPr>
              <w:pStyle w:val="null3"/>
              <w:jc w:val="both"/>
            </w:pPr>
            <w:r>
              <w:rPr>
                <w:rFonts w:ascii="仿宋_GB2312" w:hAnsi="仿宋_GB2312" w:cs="仿宋_GB2312" w:eastAsia="仿宋_GB2312"/>
                <w:sz w:val="24"/>
              </w:rPr>
              <w:t>1．《公路工程建设项目概算预算编制办法》JTG 3830-2018，以下简称“编制办法”。</w:t>
            </w:r>
          </w:p>
          <w:p>
            <w:pPr>
              <w:pStyle w:val="null3"/>
              <w:jc w:val="both"/>
            </w:pPr>
            <w:r>
              <w:rPr>
                <w:rFonts w:ascii="仿宋_GB2312" w:hAnsi="仿宋_GB2312" w:cs="仿宋_GB2312" w:eastAsia="仿宋_GB2312"/>
                <w:sz w:val="24"/>
              </w:rPr>
              <w:t>2．《公路工程预算定额》JTG-T3831-2018。</w:t>
            </w:r>
          </w:p>
          <w:p>
            <w:pPr>
              <w:pStyle w:val="null3"/>
              <w:jc w:val="both"/>
            </w:pPr>
            <w:r>
              <w:rPr>
                <w:rFonts w:ascii="仿宋_GB2312" w:hAnsi="仿宋_GB2312" w:cs="仿宋_GB2312" w:eastAsia="仿宋_GB2312"/>
                <w:sz w:val="24"/>
              </w:rPr>
              <w:t>3．《公路工程机械台班费用定额》JTG-T 3833-2018。</w:t>
            </w:r>
          </w:p>
          <w:p>
            <w:pPr>
              <w:pStyle w:val="null3"/>
              <w:jc w:val="both"/>
            </w:pPr>
            <w:r>
              <w:rPr>
                <w:rFonts w:ascii="仿宋_GB2312" w:hAnsi="仿宋_GB2312" w:cs="仿宋_GB2312" w:eastAsia="仿宋_GB2312"/>
                <w:sz w:val="24"/>
              </w:rPr>
              <w:t>4．《关于全面推开营业税改征增值税试点的通知》按财税〔2018〕32号文计。</w:t>
            </w:r>
          </w:p>
          <w:p>
            <w:pPr>
              <w:pStyle w:val="null3"/>
              <w:jc w:val="both"/>
            </w:pPr>
            <w:r>
              <w:rPr>
                <w:rFonts w:ascii="仿宋_GB2312" w:hAnsi="仿宋_GB2312" w:cs="仿宋_GB2312" w:eastAsia="仿宋_GB2312"/>
                <w:sz w:val="24"/>
              </w:rPr>
              <w:t>5．公路工程标准施工招标文件</w:t>
            </w:r>
          </w:p>
          <w:p>
            <w:pPr>
              <w:pStyle w:val="null3"/>
              <w:jc w:val="both"/>
            </w:pPr>
            <w:r>
              <w:rPr>
                <w:rFonts w:ascii="仿宋_GB2312" w:hAnsi="仿宋_GB2312" w:cs="仿宋_GB2312" w:eastAsia="仿宋_GB2312"/>
                <w:sz w:val="24"/>
              </w:rPr>
              <w:t>6．《2024年白水县建制村通双车道工程（南桥村通村路）》施工图设计文件。</w:t>
            </w:r>
          </w:p>
          <w:p>
            <w:pPr>
              <w:pStyle w:val="null3"/>
              <w:jc w:val="both"/>
            </w:pPr>
            <w:r>
              <w:rPr>
                <w:rFonts w:ascii="仿宋_GB2312" w:hAnsi="仿宋_GB2312" w:cs="仿宋_GB2312" w:eastAsia="仿宋_GB2312"/>
                <w:sz w:val="24"/>
              </w:rPr>
              <w:t>三、编制范围</w:t>
            </w:r>
          </w:p>
          <w:p>
            <w:pPr>
              <w:pStyle w:val="null3"/>
              <w:jc w:val="both"/>
            </w:pPr>
            <w:r>
              <w:rPr>
                <w:rFonts w:ascii="仿宋_GB2312" w:hAnsi="仿宋_GB2312" w:cs="仿宋_GB2312" w:eastAsia="仿宋_GB2312"/>
                <w:sz w:val="24"/>
              </w:rPr>
              <w:t>清单编制范围：2024年白水县建制村通双车道工程（南桥村通村路）K2+490-K4+300范围内全部工程量详见图纸。</w:t>
            </w:r>
          </w:p>
          <w:p>
            <w:pPr>
              <w:pStyle w:val="null3"/>
              <w:jc w:val="both"/>
            </w:pPr>
            <w:r>
              <w:rPr>
                <w:rFonts w:ascii="仿宋_GB2312" w:hAnsi="仿宋_GB2312" w:cs="仿宋_GB2312" w:eastAsia="仿宋_GB2312"/>
                <w:sz w:val="24"/>
              </w:rPr>
              <w:t>四、其他需要说明的问题</w:t>
            </w:r>
          </w:p>
          <w:p>
            <w:pPr>
              <w:pStyle w:val="null3"/>
              <w:jc w:val="both"/>
            </w:pPr>
            <w:r>
              <w:rPr>
                <w:rFonts w:ascii="仿宋_GB2312" w:hAnsi="仿宋_GB2312" w:cs="仿宋_GB2312" w:eastAsia="仿宋_GB2312"/>
                <w:sz w:val="24"/>
              </w:rPr>
              <w:t>1．本工程预算书第100章保险费的计取：</w:t>
            </w:r>
          </w:p>
          <w:p>
            <w:pPr>
              <w:pStyle w:val="null3"/>
              <w:jc w:val="both"/>
            </w:pPr>
            <w:r>
              <w:rPr>
                <w:rFonts w:ascii="仿宋_GB2312" w:hAnsi="仿宋_GB2312" w:cs="仿宋_GB2312" w:eastAsia="仿宋_GB2312"/>
                <w:sz w:val="24"/>
              </w:rPr>
              <w:t>（1）建筑工程一切险按第100章到第700章合计不包含建筑工程一切险及第三责任险的0.3%记取。</w:t>
            </w:r>
          </w:p>
          <w:p>
            <w:pPr>
              <w:pStyle w:val="null3"/>
              <w:jc w:val="both"/>
            </w:pPr>
            <w:r>
              <w:rPr>
                <w:rFonts w:ascii="仿宋_GB2312" w:hAnsi="仿宋_GB2312" w:cs="仿宋_GB2312" w:eastAsia="仿宋_GB2312"/>
                <w:sz w:val="24"/>
              </w:rPr>
              <w:t>（2）第三责任险按第100章到第700章合计不包含建筑工程一切险及第三责任险的0.15%记取。</w:t>
            </w:r>
          </w:p>
          <w:p>
            <w:pPr>
              <w:pStyle w:val="null3"/>
              <w:jc w:val="both"/>
            </w:pPr>
            <w:r>
              <w:rPr>
                <w:rFonts w:ascii="仿宋_GB2312" w:hAnsi="仿宋_GB2312" w:cs="仿宋_GB2312" w:eastAsia="仿宋_GB2312"/>
                <w:sz w:val="24"/>
              </w:rPr>
              <w:t>2．安全生产费按1.5%计算。</w:t>
            </w:r>
          </w:p>
          <w:p>
            <w:pPr>
              <w:pStyle w:val="null3"/>
              <w:jc w:val="both"/>
            </w:pPr>
            <w:r>
              <w:rPr>
                <w:rFonts w:ascii="仿宋_GB2312" w:hAnsi="仿宋_GB2312" w:cs="仿宋_GB2312" w:eastAsia="仿宋_GB2312"/>
                <w:sz w:val="24"/>
              </w:rPr>
              <w:t>3．工程量清单是根据招标文件中包括的、有合同约束力的图纸以及有关工程量清单的国家标准、行业标准、合同条款中约定的工程量计算规则编制。约定计量规则中没有的子目，其工程量按照有合同约束力的图纸所标示尺寸的理论净量计算。计量采用中华人民共和国法定计量单位。</w:t>
            </w:r>
          </w:p>
          <w:p>
            <w:pPr>
              <w:pStyle w:val="null3"/>
              <w:jc w:val="both"/>
            </w:pPr>
            <w:r>
              <w:rPr>
                <w:rFonts w:ascii="仿宋_GB2312" w:hAnsi="仿宋_GB2312" w:cs="仿宋_GB2312" w:eastAsia="仿宋_GB2312"/>
                <w:sz w:val="24"/>
              </w:rPr>
              <w:t>4．本工程量清单应与招标文件中的投标人须知、通用合同条款、专用合同条款、技术规范及图纸等一起阅读和理解。</w:t>
            </w:r>
          </w:p>
          <w:p>
            <w:pPr>
              <w:pStyle w:val="null3"/>
              <w:jc w:val="both"/>
            </w:pPr>
            <w:r>
              <w:rPr>
                <w:rFonts w:ascii="仿宋_GB2312" w:hAnsi="仿宋_GB2312" w:cs="仿宋_GB2312" w:eastAsia="仿宋_GB2312"/>
                <w:sz w:val="24"/>
              </w:rPr>
              <w:t>5．本工程量清单中所列工程数量是估算的或设计的预计数量，仅作为投标报价的共同基础，不作为最终结算与支付的依据。实际支付应按实际完成的工程量，由承包人按技术规范规定的计量方法，以监理人认可的尺寸、断面计量，按本工程量清单的单价和总额价计算支付金额；或者根据具体情况，按《公路工程标准施工招标文件》（2018版）中合同条款15.4款的规定，由监理人确定的单价或总额价计算支付额。</w:t>
            </w:r>
          </w:p>
          <w:p>
            <w:pPr>
              <w:pStyle w:val="null3"/>
              <w:jc w:val="both"/>
            </w:pPr>
            <w:r>
              <w:rPr>
                <w:rFonts w:ascii="仿宋_GB2312" w:hAnsi="仿宋_GB2312" w:cs="仿宋_GB2312" w:eastAsia="仿宋_GB2312"/>
                <w:sz w:val="24"/>
              </w:rPr>
              <w:t>6．工程量清单各章是按《公路工程标准施工招标文件》（2018版）中第八章“工程量清单计量规则”的相应章次编号的，因此，工程量清单中各章的工程子目的范围与计量等应与“工程量清单计量规则”相应章节的范围、计量与支付条款结合起来理解或解释。</w:t>
            </w:r>
          </w:p>
          <w:p>
            <w:pPr>
              <w:pStyle w:val="null3"/>
              <w:jc w:val="both"/>
            </w:pPr>
            <w:r>
              <w:rPr>
                <w:rFonts w:ascii="仿宋_GB2312" w:hAnsi="仿宋_GB2312" w:cs="仿宋_GB2312" w:eastAsia="仿宋_GB2312"/>
                <w:sz w:val="24"/>
              </w:rPr>
              <w:t>7．对作业和材料的一般说明或规定，未重复写入工程量清单内，在给工程量清单各子目标价前，应参阅《公路工程标准施工招标文件》（2018版）中第八章“工程量清单计量规则”的有关内容。</w:t>
            </w:r>
          </w:p>
          <w:p>
            <w:pPr>
              <w:pStyle w:val="null3"/>
              <w:jc w:val="both"/>
            </w:pPr>
            <w:r>
              <w:rPr>
                <w:rFonts w:ascii="仿宋_GB2312" w:hAnsi="仿宋_GB2312" w:cs="仿宋_GB2312" w:eastAsia="仿宋_GB2312"/>
                <w:sz w:val="24"/>
              </w:rPr>
              <w:t>8．工程量清单中所列工程量的变动，丝毫不会降低或影响合同条款的效力，也不免除承包人按规定的标准进行施工和修复缺陷的责任。</w:t>
            </w:r>
          </w:p>
          <w:p>
            <w:pPr>
              <w:pStyle w:val="null3"/>
              <w:jc w:val="both"/>
            </w:pPr>
            <w:r>
              <w:rPr>
                <w:rFonts w:ascii="仿宋_GB2312" w:hAnsi="仿宋_GB2312" w:cs="仿宋_GB2312" w:eastAsia="仿宋_GB2312"/>
                <w:sz w:val="24"/>
              </w:rPr>
              <w:t>9．图纸中所列的工程数量表及数量汇总表仅是提供资料，不是工程量清单的外延。当图纸与工程量清单所列数量不一致时，以工程量清单所列数量作为报价的依据。</w:t>
            </w:r>
          </w:p>
          <w:p>
            <w:pPr>
              <w:pStyle w:val="null3"/>
              <w:jc w:val="both"/>
            </w:pPr>
            <w:r>
              <w:rPr>
                <w:rFonts w:ascii="仿宋_GB2312" w:hAnsi="仿宋_GB2312" w:cs="仿宋_GB2312" w:eastAsia="仿宋_GB2312"/>
                <w:sz w:val="24"/>
              </w:rPr>
              <w:t>10．编制软件同望V11。</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1、本工程项目的材料、设备、施工必须符合国家有关工程建设标准强制性条文和国家或有关部门关于工程施工方面现行的标准、规范、规，以及省、市相关文件规定。 2、在施工过程中，如果国家或有关部门颁布了新的技术标准或规范，则承包人应采用新的标准或规范进行施工。 3、有关标准、要求不一致时，以要求高（严）者为准。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注：竞争性磋商文件中未附给定格式的内容由供应商自拟格式填写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提供2024年财务审计报告（成立时间至开标时间不足一年的可提供成立后任意时段的资产负债表）或提供投标截止日期前三个月内其基本存款账户开户银行出具的资信证明。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本项目为专门面向中小企业采购（残疾人福利性单位、监狱企业视同小型、微型企业）供应商应为中型企业或小型、微型企业或监狱企业或残疾人福利性单位。供应商为中型、小型、微型企业的 ，提供《中小企业声明函》，供应商为监狱企业的，应提供监狱企业的证明文件；供应商为残疾人福利性单位的，应提供《残疾人福利性单位声明函》。 本项目采购标的所属行业为：建筑业。（按照《工信部 国家统计局 发改委 财政部 工信部联企业》中小企业划型标准（〔2011〕300号）规定： 营业收入80000万元以下或资产总额80000万元以下的为中小微型企业。 其中，营业收入6000万元及以上，且资产总额5000万元及以上的为中型企业； 营业收入300万元及以上，且资产总额300万元及以上的为小型企业； 营业收入300万元以下或资产总额300万元以下的为微型企业。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 提供2024年财务审计报告（成立时间至开标时间不足一年的可提供成立后任意时段的资产负债表）或提供投标截止日期前三个月内其基本存款账户开户银行出具的资信证明（附开户许可证或开户备案证明或基本账户信息）（扫描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提供合格有效的法人或者其他组织的营业执照等证明文件或自然人的身份证明（证书电子版或扫描件加盖供应商公章）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响应文件递交截止之日任意一个月的纳税证明或完税证明（时间以税款所属日期为准，凭据应有税务机关或代收机关的公章或业务专用章。依法免税或无须缴纳税收的供应商，应提供相应证明文件）（电子版或扫描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响应文件递交截止之日任意一个月的社会保障资金缴存单据或社保机构开具的社会保险参保缴费情况证明（依法不需要缴纳社会保障资金的供应商应提供相关证明文件）（电子版或扫描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参加政府采购活动近3年内，在经营活动中没有重大违法记录的书面声明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具备履行合同所必需的设备和专业技术能力的证明材料（由投标人根据项目需求提供说明材料或者承诺）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公路工程施工总承包三级（及以上资质）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证书等级：二级及以上注册建造师证 专业：公路工程专业 补充说明：注册单位须与供应商名称相同，并持有交通主管部门颁发的《安全生产考核合格证书》（交安B），无在岗项目，无不良记录（证书电子版或扫描件加盖投标人公章；无在岗项目提供无在建承诺书；无不良记录提供“全国建筑市场监管公共服务平台”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法定代表人（负责人）委托授权书\身份证明</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权他人参加投标的，须提供法定代表人授权委托书、授权代表身份证、授权代表本单位证明（在供应商单位近3个月内任意一个月缴纳的养老保险证明）。响应文件中凡是需要法定代表人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 法定代表人身份证明或法定代表人授权委托书.docx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在“信用中国”网站（www.creditchina.gov.cn）和“中国政府采购网”（ccgp.gov.cn）对供应商信用信息进行查询，如果供应商被查实在开标前已列入失信被执行人、重大税收违法失信主体、政府采购严重违法失信行为记录名单，其投标为无效（提供截图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磋商保证金缴纳凭证或担保机构出具的保函。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已标价工程量清单 项目管理机构组成表 报价函 标的清单 技术服务合同条款及其他商务要求应答表 供应商应提交的相关资格证明材料 供应商类似项目业绩一览表 响应函 主要人员简历表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响应文件内容未出现漏项或数量与要求不符，未出现重大负偏差</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响应文件的签署、加盖公章有效</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磋商响应文件有效期达到磋商文件的要求</w:t>
            </w:r>
          </w:p>
        </w:tc>
        <w:tc>
          <w:tcPr>
            <w:tcW w:type="dxa" w:w="1661"/>
          </w:tcPr>
          <w:p>
            <w:pPr>
              <w:pStyle w:val="null3"/>
            </w:pPr>
            <w:r>
              <w:rPr>
                <w:rFonts w:ascii="仿宋_GB2312" w:hAnsi="仿宋_GB2312" w:cs="仿宋_GB2312" w:eastAsia="仿宋_GB2312"/>
              </w:rPr>
              <w:t>响应文件封面 报价函 技术服务合同条款及其他商务要求应答表 供应商应提交的相关资格证明材料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响应文件封面 已标价工程量清单 项目管理机构组成表 报价函 技术服务合同条款及其他商务要求应答表 供应商应提交的相关资格证明材料 标的清单 供应商类似项目业绩一览表 响应函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响应文件封面 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评审内容: 内容至少包括①施工总平面布置;②施工目标:安全目标、工期目标、质量目标;③资源配备计划:主要施工机械设备、劳动力等配备计划及主材进场计划;评审标准: 1.完整性:响应全面，对评审内容中的各项要求有详细描述:2.可实施性:内容科学，步骤清晰、合理，可实施性强:3.针对性:能够紧扣项目实际情况，满足具体要求。 赋分标准(9分): ①每一项评审内容完全满足评审标准得3分; ②每一项评审内容，若存在不明确、不合理、不完整、针对性不强等方面，扣1分;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 内容至少包括①施工准备;②施工方法及相关技术措施;③重点难点工程分析及解决措施。评审标准: 1.完整性:响应全面，对评审内容中的各项要求有详细描述:2.可实施性:内容科学，步骤清晰、合理，可实施性强;3.针对性:能够紧扣项目实际情况，满足具体要求。 赋分标准(15分): ①每一项评审内容完全满足评审标准得5分; ②每一项评审内容，若存在不明确、不合理、不完整、针对性不强等方面，扣2分; ③每一项评审内容不提供或完全背离评审标准得0分。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评审内容： 内容至少包括①施工进度计划；②工期保障措施。 评审标准： 1.完整性：响应全面，对评审内容中的各项要求有详细描述； 2.可实施性：内容科学，步骤清晰、合理，可实施性强； 3.针对性：能够紧扣项目实际情况，满足具体要求。 赋分标准（10分）： ①每一项评审内容完全满足评审标准得5分； ②每一项评审内容，若存在不明确、不合理、不完整、针对性不强等方面，扣2分； 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评审内容： 内容至少包括①质量管理体系；②施工质量保障措施。 评审标准： 1.完整性：响应全面，对评审内容中的各项要求有详细描述； 2.可实施性：内容科学，步骤清晰、合理，可实施性强； 3.针对性：能够紧扣项目实际情况，满足具体要求。 赋分标准（8分）： ①每一项评审内容完全满足评审标准得4分； ②每一项评审内容，若存在不明确、不合理、不完整、针对性不强等方面，扣1.5分；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评审内容： 内容至少包括①安全生产管理制度②安全施工措施③安全应急预案④安全生产教育。 评审标准： 1.完整性：响应全面，对评审内容中的各项要求有详细描述； 2.可实施性：内容科学，步骤清晰、合理，可实施性强； 3.针对性：能够紧扣项目实际情况，满足具体要求。 赋分标准（8分）： ①每一项评审内容完全满足评审标准得2分； ②每一项评审内容，若存在不明确、不合理、不完整、针对性不强等方面，扣0.5分；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评审内容： 内容至少包括①文明施工管理体系及保障措施；②防尘降噪措施；③环境保护管理体系及保障措施。 评审标准： 1.完整性：响应全面，对评审内容中的各项要求有详细描述； 2.可实施性：内容科学，步骤清晰、合理，可实施性强； 3.针对性：能够紧扣项目实际情况，满足具体要求。 赋分标准（ 9分）： ①每一项评审内容完全满足评审标准得3分； ②每一项评审内容，若存在不明确、不合理、不完整、针对性不强等方面，扣1.5分；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项目管理机构配备情况</w:t>
            </w:r>
          </w:p>
        </w:tc>
        <w:tc>
          <w:tcPr>
            <w:tcW w:type="dxa" w:w="2492"/>
          </w:tcPr>
          <w:p>
            <w:pPr>
              <w:pStyle w:val="null3"/>
            </w:pPr>
            <w:r>
              <w:rPr>
                <w:rFonts w:ascii="仿宋_GB2312" w:hAnsi="仿宋_GB2312" w:cs="仿宋_GB2312" w:eastAsia="仿宋_GB2312"/>
              </w:rPr>
              <w:t>项目管理机构配备情况 评审内容： 供应商针对本项目编制科学的项目管理机构，内容包含:①管理机构组织图②组织机构的岗位职责③项目管理机构人员配备情况。 评审标准： 1.完整性：响应全面，对评审内容中的各项要求有详细描述； 2.可实施性：内容科学，步骤清晰、合理，可实施性强； 3.针对性：能够紧扣项目实际情况，满足具体要求。 赋分标准（6分）： ①每一项评审内容完全满足评审标准得2分； ②每一项评审内容，若存在不明确、不合理、不完整、针对性不强等方面，扣0.5分；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供应商提供近三年（2022年1月1日至今）的类似业绩，每提供一份得2.5分，最多得5分，未提供得0分。（以合同签订时间为准）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响应文件，其磋商报价为有效报价。满足磋商文件要求且磋商价格最低的磋商报价为评标基准价，其价格分为满分。价格分按照下列公式计算。报价得分=(评标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详见附件：投标方案说明.docx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