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版本号：PTZX-2025-ZC02720250912001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白水县白水公园西侧宗地采空区地质勘察及稳定性评价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PTZX-2025-ZC027</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白水县白水公园西侧宗地采空区地质勘察及稳定性评价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PTZX-2025-ZC027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白水县白水公园西侧宗地采空区地质勘察及稳定性评价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实施白水县白水公园西侧宗地采空区地质勘察及稳定性评价工作。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7、无违法情况说明：参加政府采购活动前3年内，在经营活动中没有重大违法记录的书面声明；供应商需在项目电子化交易系统中按要求上传相应证明文件并进行电子签章。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资质要求：供应商须具备住房和城乡建设主管部门颁发的工程勘察甲级资质（或工程勘察综合资质甲级）和具有自然资源部门颁发的地质灾害评估和治理工程勘查设计甲级资质;供应商需在项目电子化交易系统中按要求上传相应证明文件并进行电子签章。</w:t>
      </w:r>
    </w:p>
    <w:p>
      <w:pPr>
        <w:pStyle w:val="null3"/>
      </w:pPr>
      <w:r>
        <w:rPr>
          <w:rFonts w:ascii="仿宋_GB2312" w:hAnsi="仿宋_GB2312" w:cs="仿宋_GB2312" w:eastAsia="仿宋_GB2312"/>
        </w:rPr>
        <w:t>9、项目负责人资格要求：拟派项目负责人具备相关专业高级职称；并提供本单位近3个月内任意一个月缴纳的养老保险证明；供应商需在项目电子化交易系统中按要求上传相应证明文件并进行电子签章。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10、不接受联合体投标：本项目不接受联合体投标（提供承诺书）</w:t>
      </w:r>
    </w:p>
    <w:p>
      <w:pPr>
        <w:pStyle w:val="null3"/>
      </w:pPr>
      <w:r>
        <w:rPr>
          <w:rFonts w:ascii="仿宋_GB2312" w:hAnsi="仿宋_GB2312" w:cs="仿宋_GB2312" w:eastAsia="仿宋_GB2312"/>
        </w:rPr>
        <w:t>11、非专门面向中小企业采购：非专门面向中小企业采购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15706059179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陕西省西安市莲湖区陕西省西安市莲湖区龙首北路西段11号甘肃省离休干部西安休养所东9栋202室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办价格[2003]857号文件精神，本协议政府采购项目的政府采购代理费参照国家收费标准（计价格【2002】1980号、发改价格【2011】534号文、陕价行发【2012】72号）计算政府采购代理服务费。政府采购代理服务费由中标（成交）人在领取中标（成交）通知书前一次性支付给政府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需达到国家及行业现行技术规范标准，符合国家及行业验收标准。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地址：陕西省渭南市蒲城县延安路与重泉路十字电影公司办公楼</w:t>
      </w:r>
    </w:p>
    <w:p>
      <w:pPr>
        <w:pStyle w:val="null3"/>
      </w:pPr>
      <w:r>
        <w:rPr>
          <w:rFonts w:ascii="仿宋_GB2312" w:hAnsi="仿宋_GB2312" w:cs="仿宋_GB2312" w:eastAsia="仿宋_GB2312"/>
        </w:rPr>
        <w:t>邮编：3503259406@qq.com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实施白水县白水公园西侧宗地采空区地质勘察及稳定性评价工作。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580,320.00</w:t>
      </w:r>
    </w:p>
    <w:p>
      <w:pPr>
        <w:pStyle w:val="null3"/>
      </w:pPr>
      <w:r>
        <w:rPr>
          <w:rFonts w:ascii="仿宋_GB2312" w:hAnsi="仿宋_GB2312" w:cs="仿宋_GB2312" w:eastAsia="仿宋_GB2312"/>
        </w:rPr>
        <w:t>采购包最高限价（元）: 580,320.00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白水县白水公园西侧宗地采空区地质勘察及稳定性评价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白水县白水公园西侧宗地采空区地质勘察及稳定性评价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实施白水县白水公园西侧宗地采空区地质勘察及稳定性评价工作。验收要求：应符合国家相关管理规定及行业标准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拟派项目负责人具备相关专业高级职称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具备实施本项目的设施设备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需达到国家及行业现行技术规范标准，符合国家及行业验收标准。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违约方承担所有责任。双方如有争议，协商解决，协商不成的可在项目所在地人民法院起诉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采购项目需要落实的政府采购政策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住房和城乡建设主管部门颁发的工程勘察甲级资质（或工程勘察综合资质甲级）和具有自然资源部门颁发的地质灾害评估和治理工程勘查设计甲级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拟派项目负责人具备相关专业高级职称；并提供本单位近3个月内任意一个月缴纳的养老保险证明；供应商需在项目电子化交易系统中按要求上传相应证明文件并进行电子签章。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勘查设计、稳评目标：勘察设计、稳评任务目标明确，工作内容理解透彻，思路清晰，重点突出，根据符合程度赋分。内容合理、细节描述详细、完整优越的得6-10分；内容相对合理、完整性一般的得3-6分；内容不合理、不完整的得0-3分。 2、勘查设计方案：勘察设计方案科学合理，勘察设计思路清晰，描述详细，层次清楚，结构合理，对本项目特点认识明确，关键技术问题认识清晰，应对措施可行。内容合理、细节描述详细、完整优越的得6-10分；内容相对合理、完整性一般的得3-6分；内容不合理、不完整的得0-3分。 3、勘察设计依据及服务内容：有明确的勘查设计标准及依据，勘察设计深度符合要求，经济实用，指标合理，做到环境、安全相统一，根据满足项目程度赋分。内容合理、细节描述详细、完整优越的得6-10分；内容相对合理、完整性一般的得3-6分；内容不合理、不完整的得0-3分。 4、实施进度计划措施：实施进度计划时间合理，进度控制内容完整、切实可行、针对性强，有具体控制措施。内容完整、切实可行、针对性强的得6-10分；内容完整、可行性一般、针对性一般的得3-6分；内容不完整、可行性差、针对性差的得0-3分。 5、勘察设计工作重点、难点分析：根据项目实际特点，对重点、难点、关键技术问题有深入的表述，解决方案完整、经济、安全、切实可行，措施得分。方案完整、可行性强的得6-10分；方案完整、可行性一般的得3-6分；方案不完整、可行性差的得0-3分。 6、拟用于本项目主要设备仪器情况：根据拟投入的勘查设计设备仪器情况，从设备的种类、数量、年限、先进科学等方面进行综合比较赋分。设备种类齐全、质量优异、先进科学的得3-5分；设备种类少，质量合格的得1-3分；设备种类少，质量一般的得0-1分。 7、服务质量、安全保证措施：针对本项目实际情况提供具体可行的服务质量、安全保证措施，根据措施的合理性、完整性比较赋分。针对本项目有具体可行的服务承诺。在勘察设计阶段对工作任务的质量、进度、响应回复等事项承诺全面；在设计成果提交后，为采购方提供相关技术咨询、优化建议等措施，协助采购方确保通过相关部门审批。内容合理、细节描述详细、完整优越的得3-5分；内容相对合理、完整性一般的得1-3分；内容不合理、不完整的得0-1分。 8、拟派项目组人员1、拟派项目组织机构设置合理，具备承担勘察设计任务的专业技术人员，根据配备的人员数量、专业、资格及职位安排等进行比较。配备人员数量多、专业能力强、资历丰富的得3-5分；配备人员数量一般、专业能力一般、资历一般的得1-3分；配备人员数量少、专业能力若、资历不足的得0-1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供应商提供2023年8月至今（以合同签订时间为准）的同类项目业绩，提供合同复印件，每提供一份有效业绩得1分，最高5分。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