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版本号：ZXZB-2025-0820250916001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白水县胜利小学综合楼改造工程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ZXZB-2025-08</w:t>
      </w:r>
      <w:r>
        <w:br/>
      </w:r>
      <w:r>
        <w:br/>
      </w:r>
      <w:r>
        <w:br/>
      </w:r>
    </w:p>
    <w:p>
      <w:pPr>
        <w:pStyle w:val="null3"/>
        <w:jc w:val="center"/>
        <w:outlineLvl w:val="2"/>
      </w:pPr>
      <w:r>
        <w:rPr>
          <w:rFonts w:ascii="仿宋_GB2312" w:hAnsi="仿宋_GB2312" w:cs="仿宋_GB2312" w:eastAsia="仿宋_GB2312"/>
          <w:sz w:val="28"/>
          <w:b/>
        </w:rPr>
        <w:t>白水县教育体育局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白水县教育体育局</w:t>
      </w:r>
      <w:r>
        <w:rPr>
          <w:rFonts w:ascii="仿宋_GB2312" w:hAnsi="仿宋_GB2312" w:cs="仿宋_GB2312" w:eastAsia="仿宋_GB2312"/>
        </w:rPr>
        <w:t>委托，拟对</w:t>
      </w:r>
      <w:r>
        <w:rPr>
          <w:rFonts w:ascii="仿宋_GB2312" w:hAnsi="仿宋_GB2312" w:cs="仿宋_GB2312" w:eastAsia="仿宋_GB2312"/>
        </w:rPr>
        <w:t>白水县胜利小学综合楼改造工程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ZXZB-2025-08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白水县胜利小学综合楼改造工程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本项目为白水县胜利小学综合楼改造项目，建设内容：对综合楼进行内外墙面粉刷，铺砌地板砖、更换门窗，水、电路改造，用电设施购置安装等。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1、营业执照：中华人民共和国境内注册，能够独立承担民事责任的法人、其他组织或自然人；</w:t>
      </w:r>
    </w:p>
    <w:p>
      <w:pPr>
        <w:pStyle w:val="null3"/>
      </w:pPr>
      <w:r>
        <w:rPr>
          <w:rFonts w:ascii="仿宋_GB2312" w:hAnsi="仿宋_GB2312" w:cs="仿宋_GB2312" w:eastAsia="仿宋_GB2312"/>
        </w:rPr>
        <w:t>2、财务审计报告：提供具有财务审计资质单位出具的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3、税收缴纳证明：提供截止开标时间前六个月内任意一个月的税收缴费凭据（依法免税的供应商应提供相关文件证明）；</w:t>
      </w:r>
    </w:p>
    <w:p>
      <w:pPr>
        <w:pStyle w:val="null3"/>
      </w:pPr>
      <w:r>
        <w:rPr>
          <w:rFonts w:ascii="仿宋_GB2312" w:hAnsi="仿宋_GB2312" w:cs="仿宋_GB2312" w:eastAsia="仿宋_GB2312"/>
        </w:rPr>
        <w:t>4、社会保障资金缴纳证明：提供截止开标时间前六个月内任意一个月的社保缴费凭据或社保机构开具的社会保险参保缴费情况证明（依法不需要缴纳社会保障资金的供应商应提供相关证明）；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5、履行合同的承诺或说明：提供具有履行本合同所必需的设备和专业技术能力的说明或承诺；</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7、“信用中国”网站和中国政府采购网（www.ccgp.gov.cn）查询记录：供应商未被列入“信用中国”网站(www.creditchina.gov.cn)“失信被执行人或重大税收违法失信主体”记录名单；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p>
      <w:pPr>
        <w:pStyle w:val="null3"/>
      </w:pPr>
      <w:r>
        <w:rPr>
          <w:rFonts w:ascii="仿宋_GB2312" w:hAnsi="仿宋_GB2312" w:cs="仿宋_GB2312" w:eastAsia="仿宋_GB2312"/>
        </w:rPr>
        <w:t>8、企业资质：具备建设行政主管部门颁发的建筑工程施工总承包三级及以上资质且具备有效的安全生产许可证； 附资质证书的复印件或扫描件；</w:t>
      </w:r>
    </w:p>
    <w:p>
      <w:pPr>
        <w:pStyle w:val="null3"/>
      </w:pPr>
      <w:r>
        <w:rPr>
          <w:rFonts w:ascii="仿宋_GB2312" w:hAnsi="仿宋_GB2312" w:cs="仿宋_GB2312" w:eastAsia="仿宋_GB2312"/>
        </w:rPr>
        <w:t>9、项目经理要求： 拟派项目经理具有建筑工程专业二级及以上注册建造师执业资格及有效的安全生产考核证（B证）且在本单位注册，未担任其他在建工程的项目经理（提供承诺，格式自拟）， 附证件的复印件或扫描件及承诺书；</w:t>
      </w:r>
    </w:p>
    <w:p>
      <w:pPr>
        <w:pStyle w:val="null3"/>
      </w:pPr>
      <w:r>
        <w:rPr>
          <w:rFonts w:ascii="仿宋_GB2312" w:hAnsi="仿宋_GB2312" w:cs="仿宋_GB2312" w:eastAsia="仿宋_GB2312"/>
        </w:rPr>
        <w:t>10、是否接受联合体 ：本项目不接受联合体（须出具非联合体投标声明）；</w:t>
      </w:r>
    </w:p>
    <w:p>
      <w:pPr>
        <w:pStyle w:val="null3"/>
      </w:pPr>
      <w:r>
        <w:rPr>
          <w:rFonts w:ascii="仿宋_GB2312" w:hAnsi="仿宋_GB2312" w:cs="仿宋_GB2312" w:eastAsia="仿宋_GB2312"/>
        </w:rPr>
        <w:t>11、法定代表人或委托代理人身份 ：法定代表人或委托代理人身份：法定代表人参加投标的，须出具法定代表人身份证明书及身份证两面扫描件加盖鲜章；法定代表人授权委托代理人参加投标的，须出具法定代表人授权委托书、授权代表在投标前4个月内（不含投标当月）任意一个月由投标供应商缴纳社保证明材料、委托代理人身份证两面扫描件加盖鲜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白水县四马路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赵亚龙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15191835879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冯佩佩、王涛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15353108309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采购包1：1,151,225.68元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成交服务费参照《国家计委关于印发&lt;招标代理服务收费管理暂行办法&gt;的通知》（计价格[2002]1980号）和国家发展改革委员会办厅颁发的《关于招标代理服务收费有关问题的通知》（发改办价格[2003]857号）规定标准收取。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白水县教育体育局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联系人：冯佩佩</w:t>
      </w:r>
    </w:p>
    <w:p>
      <w:pPr>
        <w:pStyle w:val="null3"/>
      </w:pPr>
      <w:r>
        <w:rPr>
          <w:rFonts w:ascii="仿宋_GB2312" w:hAnsi="仿宋_GB2312" w:cs="仿宋_GB2312" w:eastAsia="仿宋_GB2312"/>
        </w:rPr>
        <w:t>联系电话：15353108309</w:t>
      </w:r>
    </w:p>
    <w:p>
      <w:pPr>
        <w:pStyle w:val="null3"/>
      </w:pPr>
      <w:r>
        <w:rPr>
          <w:rFonts w:ascii="仿宋_GB2312" w:hAnsi="仿宋_GB2312" w:cs="仿宋_GB2312" w:eastAsia="仿宋_GB2312"/>
        </w:rPr>
        <w:t>地址：西安经济技术开发区凤城十二路与文景路东北角首创·禧悦里25栋A座16层</w:t>
      </w:r>
    </w:p>
    <w:p>
      <w:pPr>
        <w:pStyle w:val="null3"/>
      </w:pPr>
      <w:r>
        <w:rPr>
          <w:rFonts w:ascii="仿宋_GB2312" w:hAnsi="仿宋_GB2312" w:cs="仿宋_GB2312" w:eastAsia="仿宋_GB2312"/>
        </w:rPr>
        <w:t>邮编：715000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1,151,225.68</w:t>
      </w:r>
    </w:p>
    <w:p>
      <w:pPr>
        <w:pStyle w:val="null3"/>
      </w:pPr>
      <w:r>
        <w:rPr>
          <w:rFonts w:ascii="仿宋_GB2312" w:hAnsi="仿宋_GB2312" w:cs="仿宋_GB2312" w:eastAsia="仿宋_GB2312"/>
        </w:rPr>
        <w:t>采购包最高限价（元）: 1,151,225.68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白水县胜利小学综合楼改造工程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1,151,225.68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白水县胜利小学综合楼改造工程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b/>
              </w:rPr>
              <w:t>一、项目概况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1）项目名称：白水县胜利小学综合楼改造项目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2）工程内容：对综合楼进行内外墙面粉刷，铺砌地板砖、更换门窗，水、电路改造，用电设施购置安装等。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3）工期：45日历日。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4）工程地点：白水县胜利小学院内。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5）质量要求：符合国家现行有关施工质量验收规范要求“合格”标准。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6）是否专门面向中小企业采购：否</w:t>
            </w:r>
          </w:p>
          <w:p>
            <w:pPr>
              <w:pStyle w:val="null3"/>
              <w:jc w:val="both"/>
            </w:pPr>
            <w:r>
              <w:rPr>
                <w:rFonts w:ascii="仿宋_GB2312" w:hAnsi="仿宋_GB2312" w:cs="仿宋_GB2312" w:eastAsia="仿宋_GB2312"/>
                <w:sz w:val="20"/>
                <w:b/>
              </w:rPr>
              <w:t>二、编制依据</w:t>
            </w:r>
          </w:p>
          <w:p>
            <w:pPr>
              <w:pStyle w:val="null3"/>
              <w:jc w:val="both"/>
            </w:pPr>
            <w:r>
              <w:rPr>
                <w:rFonts w:ascii="仿宋_GB2312" w:hAnsi="仿宋_GB2312" w:cs="仿宋_GB2312" w:eastAsia="仿宋_GB2312"/>
                <w:sz w:val="21"/>
              </w:rPr>
              <w:t>1、按照陕西省建设厅《陕西省建设工程工程量清单计价规则》（2009年）、《陕西省建筑装饰工程消耗量定额》（2004年）、《陕西省安装工程消耗量定额》（2004年）及其《陕西省建筑装饰工程价目表》（2009年）、《陕西省安装工程价目表》（2009年）。</w:t>
            </w:r>
          </w:p>
          <w:p>
            <w:pPr>
              <w:pStyle w:val="null3"/>
              <w:jc w:val="both"/>
            </w:pPr>
            <w:r>
              <w:rPr>
                <w:rFonts w:ascii="仿宋_GB2312" w:hAnsi="仿宋_GB2312" w:cs="仿宋_GB2312" w:eastAsia="仿宋_GB2312"/>
                <w:sz w:val="21"/>
              </w:rPr>
              <w:t>2、依据设计图纸及相关标准图集。</w:t>
            </w:r>
          </w:p>
          <w:p>
            <w:pPr>
              <w:pStyle w:val="null3"/>
              <w:jc w:val="both"/>
            </w:pPr>
            <w:r>
              <w:rPr>
                <w:rFonts w:ascii="仿宋_GB2312" w:hAnsi="仿宋_GB2312" w:cs="仿宋_GB2312" w:eastAsia="仿宋_GB2312"/>
                <w:sz w:val="21"/>
              </w:rPr>
              <w:t>3、现行相关的专业工程施工质量验收规范、标准、规定及正常施工组织设计、施工工艺等。</w:t>
            </w:r>
          </w:p>
          <w:p>
            <w:pPr>
              <w:pStyle w:val="null3"/>
              <w:jc w:val="both"/>
            </w:pPr>
            <w:r>
              <w:rPr>
                <w:rFonts w:ascii="仿宋_GB2312" w:hAnsi="仿宋_GB2312" w:cs="仿宋_GB2312" w:eastAsia="仿宋_GB2312"/>
                <w:sz w:val="21"/>
              </w:rPr>
              <w:t>三、有关说明</w:t>
            </w:r>
          </w:p>
          <w:p>
            <w:pPr>
              <w:pStyle w:val="null3"/>
              <w:jc w:val="both"/>
            </w:pPr>
            <w:r>
              <w:rPr>
                <w:rFonts w:ascii="仿宋_GB2312" w:hAnsi="仿宋_GB2312" w:cs="仿宋_GB2312" w:eastAsia="仿宋_GB2312"/>
                <w:sz w:val="21"/>
              </w:rPr>
              <w:t>1、本工程清单计价表采用广联达云计价平台GCCP6.0 6.4100.23.122版本。</w:t>
            </w:r>
          </w:p>
          <w:p>
            <w:pPr>
              <w:pStyle w:val="null3"/>
              <w:jc w:val="both"/>
            </w:pPr>
            <w:r>
              <w:rPr>
                <w:rFonts w:ascii="仿宋_GB2312" w:hAnsi="仿宋_GB2312" w:cs="仿宋_GB2312" w:eastAsia="仿宋_GB2312"/>
                <w:sz w:val="21"/>
              </w:rPr>
              <w:t>2、陕建发[2017]270号文件关于增加建设工程扬尘治理专项措施费的通知。</w:t>
            </w:r>
          </w:p>
          <w:p>
            <w:pPr>
              <w:pStyle w:val="null3"/>
              <w:jc w:val="both"/>
            </w:pPr>
            <w:r>
              <w:rPr>
                <w:rFonts w:ascii="仿宋_GB2312" w:hAnsi="仿宋_GB2312" w:cs="仿宋_GB2312" w:eastAsia="仿宋_GB2312"/>
                <w:sz w:val="21"/>
              </w:rPr>
              <w:t>3、计价依据按陕建发【2019】45号文相应规定计入。</w:t>
            </w:r>
          </w:p>
          <w:p>
            <w:pPr>
              <w:pStyle w:val="null3"/>
              <w:jc w:val="both"/>
            </w:pPr>
            <w:r>
              <w:rPr>
                <w:rFonts w:ascii="仿宋_GB2312" w:hAnsi="仿宋_GB2312" w:cs="仿宋_GB2312" w:eastAsia="仿宋_GB2312"/>
                <w:sz w:val="21"/>
              </w:rPr>
              <w:t>4、关于发布我省落实建筑工人实名制管理计价依据的通知陕建发〔2019〕1246号。</w:t>
            </w:r>
          </w:p>
          <w:p>
            <w:pPr>
              <w:pStyle w:val="null3"/>
              <w:jc w:val="both"/>
            </w:pPr>
            <w:r>
              <w:rPr>
                <w:rFonts w:ascii="仿宋_GB2312" w:hAnsi="仿宋_GB2312" w:cs="仿宋_GB2312" w:eastAsia="仿宋_GB2312"/>
                <w:sz w:val="21"/>
              </w:rPr>
              <w:t>5、陕西省住房和城乡建设厅关于建筑施工安全生产责任保险费用计价的通知陕建发〔2020〕1097号。</w:t>
            </w:r>
          </w:p>
          <w:p>
            <w:pPr>
              <w:pStyle w:val="null3"/>
              <w:jc w:val="both"/>
            </w:pPr>
            <w:r>
              <w:rPr>
                <w:rFonts w:ascii="仿宋_GB2312" w:hAnsi="仿宋_GB2312" w:cs="仿宋_GB2312" w:eastAsia="仿宋_GB2312"/>
                <w:sz w:val="21"/>
              </w:rPr>
              <w:t>6、关于全省统一停止收缴建筑业劳保费用的通知陕建发﹝2021﹞1021号。</w:t>
            </w:r>
          </w:p>
          <w:p>
            <w:pPr>
              <w:pStyle w:val="null3"/>
              <w:jc w:val="both"/>
            </w:pPr>
            <w:r>
              <w:rPr>
                <w:rFonts w:ascii="仿宋_GB2312" w:hAnsi="仿宋_GB2312" w:cs="仿宋_GB2312" w:eastAsia="仿宋_GB2312"/>
                <w:sz w:val="21"/>
              </w:rPr>
              <w:t>7、陕建发【2021】1097号文件关于调整房屋建筑和市政基础设施工程工程量清单计价综合人工单价的通知。</w:t>
            </w:r>
          </w:p>
          <w:p>
            <w:pPr>
              <w:pStyle w:val="null3"/>
              <w:jc w:val="both"/>
            </w:pPr>
            <w:r>
              <w:rPr>
                <w:rFonts w:ascii="仿宋_GB2312" w:hAnsi="仿宋_GB2312" w:cs="仿宋_GB2312" w:eastAsia="仿宋_GB2312"/>
                <w:sz w:val="21"/>
              </w:rPr>
              <w:t>8、主要材料价依据《渭南工程造价信息》2025年第二期信息价及当地同期市场价计入。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《建筑工程施工质量验收统一标准》（GB50300-2013）等相关法律法规及采购人要求.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技术方案.docx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具有财务审计资质单位出具的2024年度财务报告（成立时间至开标时间不足一年的可提供成立后任意时段的资产负债表）或开标前六个月内其基本账户银行出具的资信证明（附开户许可证或基本账户证明）或政府采购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是否为专门面向中小企业</w:t>
            </w:r>
          </w:p>
        </w:tc>
        <w:tc>
          <w:tcPr>
            <w:tcW w:type="dxa" w:w="3322"/>
          </w:tcPr>
          <w:p>
            <w:pPr>
              <w:pStyle w:val="null3"/>
            </w:pPr>
            <w:r>
              <w:rPr>
                <w:rFonts w:ascii="仿宋_GB2312" w:hAnsi="仿宋_GB2312" w:cs="仿宋_GB2312" w:eastAsia="仿宋_GB2312"/>
              </w:rPr>
              <w:t>本项目为非专门面向中小企业的采购</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中华人民共和国境内注册，能够独立承担民事责任的法人、其他组织或自然人；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提供截止开标时间前六个月内任意一个月的税收缴费凭据（依法免税的供应商应提供相关文件证明）；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提供截止开标时间前六个月内任意一个月的社保缴费凭据或社保机构开具的社会保险参保缴费情况证明（依法不需要缴纳社会保障资金的供应商应提供相关证明）；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具备建设行政主管部门颁发的建筑工程施工总承包三级及以上资质且具备有效的安全生产许可证； 附资质证书的复印件或扫描件；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 xml:space="preserve"> 拟派项目经理具有建筑工程专业二级及以上注册建造师执业资格及有效的安全生产考核证（B证）且在本单位注册，未担任其他在建工程的项目经理（提供承诺，格式自拟）， 附证件的复印件或扫描件及承诺书；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本项目不接受联合体（须出具非联合体投标声明）；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法定代表人或委托代理人身份</w:t>
            </w:r>
          </w:p>
        </w:tc>
        <w:tc>
          <w:tcPr>
            <w:tcW w:type="dxa" w:w="3322"/>
          </w:tcPr>
          <w:p>
            <w:pPr>
              <w:pStyle w:val="null3"/>
            </w:pPr>
            <w:r>
              <w:rPr>
                <w:rFonts w:ascii="仿宋_GB2312" w:hAnsi="仿宋_GB2312" w:cs="仿宋_GB2312" w:eastAsia="仿宋_GB2312"/>
              </w:rPr>
              <w:t>法定代表人或委托代理人身份：法定代表人参加投标的，须出具法定代表人身份证明书及身份证两面扫描件加盖鲜章；法定代表人授权委托代理人参加投标的，须出具法定代表人授权委托书、授权代表在投标前4个月内（不含投标当月）任意一个月由投标供应商缴纳社保证明材料、委托代理人身份证两面扫描件加盖鲜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投标文件上法定代表人或其授权代表人的签字或盖章齐全并加盖公章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只能有一个有效最终报价，不得提交选择性报价，且报价不超过采购预算金额</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响应文件封面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针对本项目提供科学、可行、合理的总体施工组织布置及规划，满足采购人需求。 1.总体施工组织布置及规划内容详尽，全面、具体、可行、科学合理，得10分； 2.总体施工组织布置及规划内容较详尽，比较全面、可行，得8分； 3.总体施工组织布置及规划没有明显缺漏，相对全面，得6分； 4.总体施工组织布置及规划基本全面，有一定合理性，得4分； 5.总体施工组织布置及规划简单，合理性差的得2分； 6.不满足项目要求或未提供不计分。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针对本项目提供科学、可行、合理的施工方案、方法与技术措施，满足采购人需求。 1.施工方案、方法与技术措施全面、具体、可行、科学合理，得6分； 2.施工方案、方法与技术措施比较全面、具体、可行，得3分； 3.施工方案、方法与技术措施简单，有一定的合理性得1分；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1.质量保证体系及措施科学、合理、可行得5分； 2.质量保证体系及措施内容较完善，有一定的科学性、可行性得3分； 3.质量保证体系及措施内容简单，可行性差得1分；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针对本项目提供的项目安全保证措施科学、合理、可行，满足采购人需求。 1.安全保证措施科学、合理、可行得5分； 2.安全保证措施内容较完善，有一定的科学性、可行性得3分； 3.安全保证措施内容简单，可行性差得1分；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1.项目进度计划和工期目标科学、合理、可行得6分； 2.项目进度计划和工期安排内容较完善，有一定的科学性、可行性得3分； 3.项目进度计划和工期内容简单，可行性差得1分；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1.拟投入本项目人员数量充足，专业人员配置齐全、针对性强、分工明确，能够满足采购人项目需求的得5分； 2.人员配备数量一般，专业人员配备能够基本满足项目实施需要，分工有一定的合理性，基本能满足项目需求的得3分； 3.人员配备数量较少，专业人员配备不齐全的得1分；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拟投入本项目主要机具、设备和劳动力配置情况</w:t>
            </w:r>
          </w:p>
        </w:tc>
        <w:tc>
          <w:tcPr>
            <w:tcW w:type="dxa" w:w="2492"/>
          </w:tcPr>
          <w:p>
            <w:pPr>
              <w:pStyle w:val="null3"/>
            </w:pPr>
            <w:r>
              <w:rPr>
                <w:rFonts w:ascii="仿宋_GB2312" w:hAnsi="仿宋_GB2312" w:cs="仿宋_GB2312" w:eastAsia="仿宋_GB2312"/>
              </w:rPr>
              <w:t>拟投入本项目主要机具、设备和劳动力配置情况，磋商小组可根据拟投入本项目设备情况自主打分。 1.拟投入的主要机具、设备和劳动力充分、能满足项目需要得6分； 2.拟投入的主要机具、设备和劳动力较充分、基本满足项目需要得3分； 3.拟投入的主要机具、设备和劳动力有缺漏、配备不齐全得1分；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根据采购人意见及时调整人员及服务方案的承诺： 1.承诺具体、详细、可行得5分； 2.承诺较具体、内容较全面、较可行得3分； 3.承诺内容简单、可行性较差的得1分；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 1.项目风险预测与防范，事故应急预案科学、合理、可行得5分； 2.项目风险预测与防范，事故应急预案内容较完善，有一定的科学性、可行性得3分； 3.项目风险预测与防范，事故应急预案内容简单，可行性差得1分；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 1.完整、科学、合理、可行得7分； 2.质量保修承诺较完整、较科学、较可行得4分； 3.质量保修承诺简单得1分； 4.不满足项目要求或未提供不计分。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2022年1月1日以来承接过类似项目的合同证明（以合同的签订日期为准）（每提供一个得2.5分，满分5分）（合同内容须清晰可辨认，无涂改，否则视为无效合同）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拟派项目负责人业绩证明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2022年1月1日以来承接过类似项目的合同证明（以合同的签订日期为准）（每提供一个得1分，满分5分）（合同内容须清晰可辨认，无涂改，否则视为无效合同）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