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版本号：ZCSP-白水县-2025-00217-06620250908002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2025年白水县城关街道办北关村集体经济物流市场提升改造项目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ZCSP-白水县-2025-00217-066</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2025年白水县城关街道办北关村集体经济物流市场提升改造项目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ZCSP-白水县-2025-00217-066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2025年白水县城关街道办北关村集体经济物流市场提升改造项目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建设地点：白水县城关街道办北关村（二）采购范围：1.项目名称：2025年白水县城关街道办北关村集体经济物流市场提升改造项目2.建设规模及内容：（1）商铺一：地上一层，平面布置为矩形,轴线尺寸为6.30m×12.00m，消防建筑高度4.45m,女儿墙高度0.9m,规划建筑高度5.35m,建筑面积449.48㎡。（2）商铺二：地上一层，平面布置为矩形,轴线尺寸为39.60m×126.00m，消防建筑高度4.45m,女儿墙高度0.9m,规划建筑高度5.35m,建筑面积260.65㎡。（3）商铺四：电气改造。（三）工期：自合同签订之日起60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采购包1（2025年白水县城关街道办北关村集体经济物流市场提升改造项目）：属于专门面向中小企业采购。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2、营业执照等主体资格证明文件：提供有效存续的企业营业执照（含最新年度报告）；</w:t>
      </w:r>
    </w:p>
    <w:p>
      <w:pPr>
        <w:pStyle w:val="null3"/>
      </w:pPr>
      <w:r>
        <w:rPr>
          <w:rFonts w:ascii="仿宋_GB2312" w:hAnsi="仿宋_GB2312" w:cs="仿宋_GB2312" w:eastAsia="仿宋_GB2312"/>
        </w:rPr>
        <w:t>3、资质证书：供应商具备有效的建筑工程施工总承包二级及以上资质；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5、项目经理：供应商拟派项目经理具备有效的建筑工程专业二级及以上注册建造师资格和有效的安全生产考核合格证书（建安B证），且未担任其他在施建设工程的项目经理（提供无在建项目承诺）；</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1月1日至响应文件递交截止之日任意一个月的社会保障资金缴存单据或社保机构开具的社会保险（养老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董王平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采购包1：2,654,901.87元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开户名称：鸿民国际工程（集团）有限公司渭南分公司开户银行：中国建设银行股份有限公司渭南朝阳大街支行账号：61050164500800000631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联系人：曹艳艳</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2,654,901.87</w:t>
      </w:r>
    </w:p>
    <w:p>
      <w:pPr>
        <w:pStyle w:val="null3"/>
      </w:pPr>
      <w:r>
        <w:rPr>
          <w:rFonts w:ascii="仿宋_GB2312" w:hAnsi="仿宋_GB2312" w:cs="仿宋_GB2312" w:eastAsia="仿宋_GB2312"/>
        </w:rPr>
        <w:t>采购包最高限价（元）: 2,654,901.87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2025年白水县城关街道办北关村集体经济物流市场提升改造项目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2,654,901.87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2025年白水县城关街道办北关村集体经济物流市场提升改造项目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一、技术依据</w:t>
            </w:r>
          </w:p>
          <w:p>
            <w:pPr>
              <w:pStyle w:val="null3"/>
              <w:jc w:val="both"/>
            </w:pPr>
            <w:r>
              <w:rPr>
                <w:rFonts w:ascii="仿宋_GB2312" w:hAnsi="仿宋_GB2312" w:cs="仿宋_GB2312" w:eastAsia="仿宋_GB2312"/>
                <w:sz w:val="21"/>
              </w:rPr>
              <w:t>1.必须严格遵循本项目建筑、结构、给排水、电气等全套施工图纸和《工程量清单》的规定。</w:t>
            </w:r>
          </w:p>
          <w:p>
            <w:pPr>
              <w:pStyle w:val="null3"/>
              <w:jc w:val="both"/>
            </w:pPr>
            <w:r>
              <w:rPr>
                <w:rFonts w:ascii="仿宋_GB2312" w:hAnsi="仿宋_GB2312" w:cs="仿宋_GB2312" w:eastAsia="仿宋_GB2312"/>
                <w:sz w:val="21"/>
              </w:rPr>
              <w:t>2.必须满足与本工程相关的所有国家、省、市现行有效的规范、规程、标准。</w:t>
            </w:r>
          </w:p>
          <w:p>
            <w:pPr>
              <w:pStyle w:val="null3"/>
              <w:jc w:val="both"/>
            </w:pPr>
            <w:r>
              <w:rPr>
                <w:rFonts w:ascii="仿宋_GB2312" w:hAnsi="仿宋_GB2312" w:cs="仿宋_GB2312" w:eastAsia="仿宋_GB2312"/>
                <w:sz w:val="21"/>
                <w:b/>
              </w:rPr>
              <w:t>二、材料要求</w:t>
            </w:r>
          </w:p>
          <w:p>
            <w:pPr>
              <w:pStyle w:val="null3"/>
              <w:jc w:val="both"/>
            </w:pPr>
            <w:r>
              <w:rPr>
                <w:rFonts w:ascii="仿宋_GB2312" w:hAnsi="仿宋_GB2312" w:cs="仿宋_GB2312" w:eastAsia="仿宋_GB2312"/>
                <w:sz w:val="21"/>
              </w:rPr>
              <w:t>1.采用的钢材、焊条、焊丝、焊剂、高强度螺栓等连接材料，其品牌、规格、型号、力学性能、化学成份必须符合设计图纸及国家规范要求。所有钢材必须有出厂合格证、质量保证书。</w:t>
            </w:r>
          </w:p>
          <w:p>
            <w:pPr>
              <w:pStyle w:val="null3"/>
              <w:jc w:val="both"/>
            </w:pPr>
            <w:r>
              <w:rPr>
                <w:rFonts w:ascii="仿宋_GB2312" w:hAnsi="仿宋_GB2312" w:cs="仿宋_GB2312" w:eastAsia="仿宋_GB2312"/>
                <w:sz w:val="21"/>
              </w:rPr>
              <w:t>2.钢板：品牌、厚度、镀锌量、涂层材质等必须符合设计要求。</w:t>
            </w:r>
          </w:p>
          <w:p>
            <w:pPr>
              <w:pStyle w:val="null3"/>
              <w:jc w:val="both"/>
            </w:pPr>
            <w:r>
              <w:rPr>
                <w:rFonts w:ascii="仿宋_GB2312" w:hAnsi="仿宋_GB2312" w:cs="仿宋_GB2312" w:eastAsia="仿宋_GB2312"/>
                <w:sz w:val="21"/>
              </w:rPr>
              <w:t>3.混凝土：必须使用商品混凝土，其强度等级必须符合设计要求。</w:t>
            </w:r>
          </w:p>
          <w:p>
            <w:pPr>
              <w:pStyle w:val="null3"/>
              <w:jc w:val="both"/>
            </w:pPr>
            <w:r>
              <w:rPr>
                <w:rFonts w:ascii="仿宋_GB2312" w:hAnsi="仿宋_GB2312" w:cs="仿宋_GB2312" w:eastAsia="仿宋_GB2312"/>
                <w:sz w:val="21"/>
              </w:rPr>
              <w:t>4.其他材料：所有辅材的品牌及技术参数均须符合设计及规范要求。</w:t>
            </w:r>
          </w:p>
          <w:p>
            <w:pPr>
              <w:pStyle w:val="null3"/>
              <w:jc w:val="both"/>
            </w:pPr>
            <w:r>
              <w:rPr>
                <w:rFonts w:ascii="仿宋_GB2312" w:hAnsi="仿宋_GB2312" w:cs="仿宋_GB2312" w:eastAsia="仿宋_GB2312"/>
                <w:sz w:val="21"/>
              </w:rPr>
              <w:t>5.样品报验：承包人须在材料采购前提供样品供采购人/监理确认封样。</w:t>
            </w:r>
          </w:p>
          <w:p>
            <w:pPr>
              <w:pStyle w:val="null3"/>
              <w:jc w:val="both"/>
            </w:pPr>
            <w:r>
              <w:rPr>
                <w:rFonts w:ascii="仿宋_GB2312" w:hAnsi="仿宋_GB2312" w:cs="仿宋_GB2312" w:eastAsia="仿宋_GB2312"/>
                <w:sz w:val="21"/>
              </w:rPr>
              <w:t>6.进场验收：所有材料进场须报验，并随车提供出厂合格证、质量检验报告等质量证明文件原件。经采购人/监理现场抽样检验（必要时送第三方检测机构）合格后方可使用。不合格材料须立即退场，严禁用于工程。</w:t>
            </w:r>
          </w:p>
          <w:p>
            <w:pPr>
              <w:pStyle w:val="null3"/>
              <w:jc w:val="both"/>
            </w:pPr>
            <w:r>
              <w:rPr>
                <w:rFonts w:ascii="仿宋_GB2312" w:hAnsi="仿宋_GB2312" w:cs="仿宋_GB2312" w:eastAsia="仿宋_GB2312"/>
                <w:sz w:val="21"/>
                <w:b/>
              </w:rPr>
              <w:t>三、施工工艺与质量要求</w:t>
            </w:r>
          </w:p>
          <w:p>
            <w:pPr>
              <w:pStyle w:val="null3"/>
              <w:jc w:val="both"/>
            </w:pPr>
            <w:r>
              <w:rPr>
                <w:rFonts w:ascii="仿宋_GB2312" w:hAnsi="仿宋_GB2312" w:cs="仿宋_GB2312" w:eastAsia="仿宋_GB2312"/>
                <w:sz w:val="21"/>
              </w:rPr>
              <w:t>1.基础工程：</w:t>
            </w:r>
          </w:p>
          <w:p>
            <w:pPr>
              <w:pStyle w:val="null3"/>
              <w:jc w:val="both"/>
            </w:pPr>
            <w:r>
              <w:rPr>
                <w:rFonts w:ascii="仿宋_GB2312" w:hAnsi="仿宋_GB2312" w:cs="仿宋_GB2312" w:eastAsia="仿宋_GB2312"/>
                <w:sz w:val="21"/>
              </w:rPr>
              <w:t>1.1严格按照图纸要求进行基础开挖、钢筋绑扎、模板支设、混凝土浇筑。</w:t>
            </w:r>
          </w:p>
          <w:p>
            <w:pPr>
              <w:pStyle w:val="null3"/>
              <w:jc w:val="both"/>
            </w:pPr>
            <w:r>
              <w:rPr>
                <w:rFonts w:ascii="仿宋_GB2312" w:hAnsi="仿宋_GB2312" w:cs="仿宋_GB2312" w:eastAsia="仿宋_GB2312"/>
                <w:sz w:val="21"/>
              </w:rPr>
              <w:t>1.2基础锚栓预埋须采用可靠定位措施，确保轴线、标高、垂直度偏差在规范允许范围内，并做好成品保护。</w:t>
            </w:r>
          </w:p>
          <w:p>
            <w:pPr>
              <w:pStyle w:val="null3"/>
              <w:jc w:val="both"/>
            </w:pPr>
            <w:r>
              <w:rPr>
                <w:rFonts w:ascii="仿宋_GB2312" w:hAnsi="仿宋_GB2312" w:cs="仿宋_GB2312" w:eastAsia="仿宋_GB2312"/>
                <w:sz w:val="21"/>
              </w:rPr>
              <w:t>2.钢结构安装：</w:t>
            </w:r>
          </w:p>
          <w:p>
            <w:pPr>
              <w:pStyle w:val="null3"/>
              <w:jc w:val="both"/>
            </w:pPr>
            <w:r>
              <w:rPr>
                <w:rFonts w:ascii="仿宋_GB2312" w:hAnsi="仿宋_GB2312" w:cs="仿宋_GB2312" w:eastAsia="仿宋_GB2312"/>
                <w:sz w:val="21"/>
              </w:rPr>
              <w:t>2.1钢构件制作：必须由具备资质的工厂进行，采用先进的数控设备下料、制孔、焊接。焊接质量须达到设计要求等级，并进行无损检测（如需）。</w:t>
            </w:r>
          </w:p>
          <w:p>
            <w:pPr>
              <w:pStyle w:val="null3"/>
              <w:jc w:val="both"/>
            </w:pPr>
            <w:r>
              <w:rPr>
                <w:rFonts w:ascii="仿宋_GB2312" w:hAnsi="仿宋_GB2312" w:cs="仿宋_GB2312" w:eastAsia="仿宋_GB2312"/>
                <w:sz w:val="21"/>
              </w:rPr>
              <w:t>2.2钢构件安装：安装前，须对基础锚栓进行复核验收。遵循"先主后次、先竖后平"的原则，先安装钢柱，校正固定后，再安装钢梁、檩条、支撑等。高强度螺栓连接副的安装须分初拧和终拧，扭矩值须符合规范要求，并做好施工记录。所有钢构件安装的垂直度、标高、间距、挠曲等偏差必须严格控制在《钢结构工程施工质量验收标准》GB50205-2020的允许范围内。</w:t>
            </w:r>
          </w:p>
          <w:p>
            <w:pPr>
              <w:pStyle w:val="null3"/>
              <w:jc w:val="both"/>
            </w:pPr>
            <w:r>
              <w:rPr>
                <w:rFonts w:ascii="仿宋_GB2312" w:hAnsi="仿宋_GB2312" w:cs="仿宋_GB2312" w:eastAsia="仿宋_GB2312"/>
                <w:sz w:val="21"/>
              </w:rPr>
              <w:t>3.建筑装饰与安装工程：</w:t>
            </w:r>
          </w:p>
          <w:p>
            <w:pPr>
              <w:pStyle w:val="null3"/>
              <w:jc w:val="both"/>
            </w:pPr>
            <w:r>
              <w:rPr>
                <w:rFonts w:ascii="仿宋_GB2312" w:hAnsi="仿宋_GB2312" w:cs="仿宋_GB2312" w:eastAsia="仿宋_GB2312"/>
                <w:sz w:val="21"/>
              </w:rPr>
              <w:t>3.1砌筑工程：砖墙施工须符合规范要求。</w:t>
            </w:r>
          </w:p>
          <w:p>
            <w:pPr>
              <w:pStyle w:val="null3"/>
              <w:jc w:val="both"/>
            </w:pPr>
            <w:r>
              <w:rPr>
                <w:rFonts w:ascii="仿宋_GB2312" w:hAnsi="仿宋_GB2312" w:cs="仿宋_GB2312" w:eastAsia="仿宋_GB2312"/>
                <w:sz w:val="21"/>
              </w:rPr>
              <w:t>3.2防水工程：涂膜防水、卷材防水等施工工艺必须符合设计及规范要求。</w:t>
            </w:r>
          </w:p>
          <w:p>
            <w:pPr>
              <w:pStyle w:val="null3"/>
              <w:jc w:val="both"/>
            </w:pPr>
            <w:r>
              <w:rPr>
                <w:rFonts w:ascii="仿宋_GB2312" w:hAnsi="仿宋_GB2312" w:cs="仿宋_GB2312" w:eastAsia="仿宋_GB2312"/>
                <w:sz w:val="21"/>
              </w:rPr>
              <w:t>3.3地面工程：地砖地面、水泥砂浆地面等施工应符合设计要求。</w:t>
            </w:r>
          </w:p>
          <w:p>
            <w:pPr>
              <w:pStyle w:val="null3"/>
              <w:jc w:val="both"/>
            </w:pPr>
            <w:r>
              <w:rPr>
                <w:rFonts w:ascii="仿宋_GB2312" w:hAnsi="仿宋_GB2312" w:cs="仿宋_GB2312" w:eastAsia="仿宋_GB2312"/>
                <w:sz w:val="21"/>
              </w:rPr>
              <w:t>3.4电气工程：配电箱安装、电缆桥架、电缆敷设、配管、灯具、开关插座安装等必须符合《电气装置安装工程》相关规范及设计要求。</w:t>
            </w:r>
          </w:p>
          <w:p>
            <w:pPr>
              <w:pStyle w:val="null3"/>
              <w:jc w:val="both"/>
            </w:pPr>
            <w:r>
              <w:rPr>
                <w:rFonts w:ascii="仿宋_GB2312" w:hAnsi="仿宋_GB2312" w:cs="仿宋_GB2312" w:eastAsia="仿宋_GB2312"/>
                <w:sz w:val="21"/>
              </w:rPr>
              <w:t>3.5给排水工程：管道、阀门、水表、消防水箱、卫生洁具安装等必须符合《建筑给水排水及采暖工程施工质量验收规范》及设计要求。</w:t>
            </w:r>
          </w:p>
          <w:p>
            <w:pPr>
              <w:pStyle w:val="null3"/>
              <w:jc w:val="both"/>
            </w:pPr>
            <w:r>
              <w:rPr>
                <w:rFonts w:ascii="仿宋_GB2312" w:hAnsi="仿宋_GB2312" w:cs="仿宋_GB2312" w:eastAsia="仿宋_GB2312"/>
                <w:sz w:val="21"/>
              </w:rPr>
              <w:t>4.防火与防腐：所有钢构件的除锈等级和防腐涂层（油漆品牌、涂层道数、干漆膜总厚度）必须符合设计要求。钢结构防火处理（如防火涂料）的施工及厚度必须符合《建筑设计防火规范》GB50016-2014（2018年版）的要求。</w:t>
            </w:r>
          </w:p>
          <w:p>
            <w:pPr>
              <w:pStyle w:val="null3"/>
              <w:jc w:val="both"/>
            </w:pPr>
            <w:r>
              <w:rPr>
                <w:rFonts w:ascii="仿宋_GB2312" w:hAnsi="仿宋_GB2312" w:cs="仿宋_GB2312" w:eastAsia="仿宋_GB2312"/>
                <w:sz w:val="21"/>
              </w:rPr>
              <w:t>5.成品保护：各道工序完成后及整个施工期间，须对已完成的基础、钢构件等采取有效措施进行保护，避免碰撞、刮擦、污染。</w:t>
            </w:r>
          </w:p>
          <w:p>
            <w:pPr>
              <w:pStyle w:val="null3"/>
              <w:jc w:val="both"/>
            </w:pPr>
            <w:r>
              <w:rPr>
                <w:rFonts w:ascii="仿宋_GB2312" w:hAnsi="仿宋_GB2312" w:cs="仿宋_GB2312" w:eastAsia="仿宋_GB2312"/>
                <w:sz w:val="21"/>
              </w:rPr>
              <w:t>6.安全文明施工：严格遵守钢结构施工安全操作规程，高空作业必须系挂安全带，设置安全平网。现场材料堆放整齐，工完场清，控制扬尘、噪音、废弃物排放符合环保要求。</w:t>
            </w:r>
          </w:p>
          <w:p>
            <w:pPr>
              <w:pStyle w:val="null3"/>
              <w:jc w:val="both"/>
            </w:pPr>
            <w:r>
              <w:rPr>
                <w:rFonts w:ascii="仿宋_GB2312" w:hAnsi="仿宋_GB2312" w:cs="仿宋_GB2312" w:eastAsia="仿宋_GB2312"/>
                <w:sz w:val="21"/>
                <w:b/>
              </w:rPr>
              <w:t>四、验收标准</w:t>
            </w:r>
          </w:p>
          <w:p>
            <w:pPr>
              <w:pStyle w:val="null3"/>
              <w:jc w:val="both"/>
            </w:pPr>
            <w:r>
              <w:rPr>
                <w:rFonts w:ascii="仿宋_GB2312" w:hAnsi="仿宋_GB2312" w:cs="仿宋_GB2312" w:eastAsia="仿宋_GB2312"/>
                <w:sz w:val="21"/>
              </w:rPr>
              <w:t>1.工程完工后，按《钢结构工程施工质量验收标准》GB50205-2020、《建筑工程施工质量验收统一标准》GB50300-2013及设计文件要求进行竣工验收。</w:t>
            </w:r>
          </w:p>
          <w:p>
            <w:pPr>
              <w:pStyle w:val="null3"/>
              <w:jc w:val="both"/>
            </w:pPr>
            <w:r>
              <w:rPr>
                <w:rFonts w:ascii="仿宋_GB2312" w:hAnsi="仿宋_GB2312" w:cs="仿宋_GB2312" w:eastAsia="仿宋_GB2312"/>
                <w:sz w:val="21"/>
              </w:rPr>
              <w:t>2.承包人须先进行自检，合格后提交完整的竣工资料（包括但不限于：竣工图、材料合格证、检测报告、隐蔽工程验收记录、高强度螺栓施工记录等）和验收申请。</w:t>
            </w:r>
          </w:p>
          <w:p>
            <w:pPr>
              <w:pStyle w:val="null3"/>
              <w:jc w:val="both"/>
            </w:pPr>
            <w:r>
              <w:rPr>
                <w:rFonts w:ascii="仿宋_GB2312" w:hAnsi="仿宋_GB2312" w:cs="仿宋_GB2312" w:eastAsia="仿宋_GB2312"/>
                <w:sz w:val="21"/>
              </w:rPr>
              <w:t>3.验收内容包括：</w:t>
            </w:r>
          </w:p>
          <w:p>
            <w:pPr>
              <w:pStyle w:val="null3"/>
              <w:jc w:val="both"/>
            </w:pPr>
            <w:r>
              <w:rPr>
                <w:rFonts w:ascii="仿宋_GB2312" w:hAnsi="仿宋_GB2312" w:cs="仿宋_GB2312" w:eastAsia="仿宋_GB2312"/>
                <w:sz w:val="21"/>
              </w:rPr>
              <w:t>3.1工程实体质量：结构观感、安装尺寸偏差、防腐防火涂层厚度、屋面淋水试验（或雨后检查无渗漏）、门窗开启灵活性等。</w:t>
            </w:r>
          </w:p>
          <w:p>
            <w:pPr>
              <w:pStyle w:val="null3"/>
              <w:jc w:val="both"/>
            </w:pPr>
            <w:r>
              <w:rPr>
                <w:rFonts w:ascii="仿宋_GB2312" w:hAnsi="仿宋_GB2312" w:cs="仿宋_GB2312" w:eastAsia="仿宋_GB2312"/>
                <w:sz w:val="21"/>
              </w:rPr>
              <w:t>3.2竣工资料完整性。</w:t>
            </w:r>
          </w:p>
          <w:p>
            <w:pPr>
              <w:pStyle w:val="null3"/>
              <w:jc w:val="both"/>
            </w:pPr>
            <w:r>
              <w:rPr>
                <w:rFonts w:ascii="仿宋_GB2312" w:hAnsi="仿宋_GB2312" w:cs="仿宋_GB2312" w:eastAsia="仿宋_GB2312"/>
                <w:sz w:val="21"/>
              </w:rPr>
              <w:t>4.主要技术指标（如钢柱垂直度、钢梁挠度、屋面平整度、防腐涂层厚度等）必须达到设计和规范要求的"合格"等级。</w:t>
            </w:r>
          </w:p>
          <w:p>
            <w:pPr>
              <w:pStyle w:val="null3"/>
              <w:jc w:val="both"/>
            </w:pPr>
            <w:r>
              <w:rPr>
                <w:rFonts w:ascii="仿宋_GB2312" w:hAnsi="仿宋_GB2312" w:cs="仿宋_GB2312" w:eastAsia="仿宋_GB2312"/>
                <w:sz w:val="21"/>
              </w:rPr>
              <w:t>5.验收不合格，承包人须按验收意见限期整改，直至复验合格。</w:t>
            </w:r>
          </w:p>
          <w:p>
            <w:pPr>
              <w:pStyle w:val="null3"/>
              <w:jc w:val="both"/>
            </w:pPr>
            <w:r>
              <w:rPr>
                <w:rFonts w:ascii="仿宋_GB2312" w:hAnsi="仿宋_GB2312" w:cs="仿宋_GB2312" w:eastAsia="仿宋_GB2312"/>
                <w:sz w:val="21"/>
                <w:b/>
              </w:rPr>
              <w:t>五、工程量清单</w:t>
            </w:r>
          </w:p>
          <w:p>
            <w:pPr>
              <w:pStyle w:val="null3"/>
              <w:jc w:val="both"/>
            </w:pPr>
            <w:r>
              <w:rPr>
                <w:rFonts w:ascii="仿宋_GB2312" w:hAnsi="仿宋_GB2312" w:cs="仿宋_GB2312" w:eastAsia="仿宋_GB2312"/>
                <w:sz w:val="21"/>
              </w:rPr>
              <w:t>1.本工程报价与结算必须严格依据采购人所发的《工程量清单》。</w:t>
            </w:r>
          </w:p>
          <w:p>
            <w:pPr>
              <w:pStyle w:val="null3"/>
              <w:jc w:val="both"/>
            </w:pPr>
            <w:r>
              <w:rPr>
                <w:rFonts w:ascii="仿宋_GB2312" w:hAnsi="仿宋_GB2312" w:cs="仿宋_GB2312" w:eastAsia="仿宋_GB2312"/>
                <w:sz w:val="21"/>
              </w:rPr>
              <w:t>2.承包人须仔细复核清单项目特征、工作内容及计量规则。清单中未单独列项但为完成图纸所示工程不可或缺的所有工作内容及费用，均应视为已包含在相应清单项目综合单价中，发包人不再另行支付。</w:t>
            </w:r>
          </w:p>
          <w:p>
            <w:pPr>
              <w:pStyle w:val="null3"/>
              <w:jc w:val="both"/>
            </w:pPr>
            <w:r>
              <w:rPr>
                <w:rFonts w:ascii="仿宋_GB2312" w:hAnsi="仿宋_GB2312" w:cs="仿宋_GB2312" w:eastAsia="仿宋_GB2312"/>
                <w:sz w:val="21"/>
                <w:b/>
              </w:rPr>
              <w:t>六、其他技术要求</w:t>
            </w:r>
          </w:p>
          <w:p>
            <w:pPr>
              <w:pStyle w:val="null3"/>
              <w:jc w:val="both"/>
            </w:pPr>
            <w:r>
              <w:rPr>
                <w:rFonts w:ascii="仿宋_GB2312" w:hAnsi="仿宋_GB2312" w:cs="仿宋_GB2312" w:eastAsia="仿宋_GB2312"/>
                <w:sz w:val="21"/>
              </w:rPr>
              <w:t>1.施工组织设计：承包人成交后须提交详细的《施工组织设计》，重点阐述钢结构吊装专项方案（含吊装机械选型、吊装顺序、安全措施）、焊接专项方案、高空作业安全专项方案等，经采购人/监理审批后实施。</w:t>
            </w:r>
          </w:p>
          <w:p>
            <w:pPr>
              <w:pStyle w:val="null3"/>
              <w:jc w:val="both"/>
            </w:pPr>
            <w:r>
              <w:rPr>
                <w:rFonts w:ascii="仿宋_GB2312" w:hAnsi="仿宋_GB2312" w:cs="仿宋_GB2312" w:eastAsia="仿宋_GB2312"/>
                <w:sz w:val="21"/>
              </w:rPr>
              <w:t>2.项目经理与技术负责人：承包人须指派具备钢结构工程施工管理经验的项目经理及技术负责人常驻现场，未经采购人书面许可不得更换。</w:t>
            </w:r>
          </w:p>
          <w:p>
            <w:pPr>
              <w:pStyle w:val="null3"/>
              <w:jc w:val="both"/>
            </w:pPr>
            <w:r>
              <w:rPr>
                <w:rFonts w:ascii="仿宋_GB2312" w:hAnsi="仿宋_GB2312" w:cs="仿宋_GB2312" w:eastAsia="仿宋_GB2312"/>
                <w:sz w:val="21"/>
              </w:rPr>
              <w:t>3.环保要求：所有材料应符合国家环保标准。施工期间应采取有效措施，减少对周边环境和村民生活的影响。</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1.合格2.工程质量必须符合国家、省、市现行有效的施工质量验收规范、规程和标准。3.工程质量等级目标：一次验收合格率100%。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因承包人原因造成质量不合格，须无条件返工至合格，并承担由此产生的一切费用及延误责任。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一、工期：自合同签订之日起60日历天内完成全部工程施工并达到验收条件。 二、付款方式：供应商响应本合同包竞争性磋商文件第八章合同条款要求。 三、承包方式 1.施工总承包 2.承包人须对工程的质量、安全、工期、造价全面负责。 3.承包人须自行解决施工所需的水、电、临时设施等。 四、合同与履约 1.保险：承包人须为工程投保建筑工程一切险和第三者责任险，并承担费用。施工人员意外伤害险按国家规定办理。 2.变更与签证：供应商响应本合同包竞争性磋商文件第八章合同条款要求。 3.违约责任：供应商响应本合同包竞争性磋商文件第八章合同条款要求。 4.争议解决：供应商响应本合同包竞争性磋商文件第八章合同条款要求。 5.其他条款：供应商响应本合同包竞争性磋商文件第八章合同条款要求。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供应商具备有效的建筑工程施工总承包二级及以上资质；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供应商拟派项目经理具备有效的建筑工程专业二级及以上注册建造师资格和有效的安全生产考核合格证书（建安B证），且未担任其他在施建设工程的项目经理（提供无在建项目承诺）；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提供2025年1月1日至响应文件递交截止之日任意一个月的社会保障资金缴存单据或社保机构开具的社会保险（养老保险）参保缴费情况证明。依法不需要缴纳社会保障资金的供应商应提供相关证明文件；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已标价工程量清单 施工组织设计.pdf 中小企业声明函 拟派项目负责人简历表.pdf 技术服务合同条款及其他商务要求应答表 近年完成的类似项目情况表.pdf 响应文件封面 残疾人福利性单位声明函 报价函 标的清单 拟投入本项目人员配置情况表.pdf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响应文件递交截止之日具有类似项目已完成的施工业绩（以合同签订时间为准），提供1个得1分，满分5分。评审依据：业绩证明材料包括①中标（成交）通知书②施工合同。以加盖单位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近年完成的类似项目情况表.pdf</w:t>
            </w:r>
          </w:p>
        </w:tc>
      </w:tr>
      <w:tr>
        <w:tc>
          <w:tcPr>
            <w:tcW w:type="dxa" w:w="831"/>
            <w:vMerge/>
          </w:tcPr>
          <w:p/>
        </w:tc>
        <w:tc>
          <w:tcPr>
            <w:tcW w:type="dxa" w:w="1661"/>
          </w:tcPr>
          <w:p>
            <w:pPr>
              <w:pStyle w:val="null3"/>
            </w:pPr>
            <w:r>
              <w:rPr>
                <w:rFonts w:ascii="仿宋_GB2312" w:hAnsi="仿宋_GB2312" w:cs="仿宋_GB2312" w:eastAsia="仿宋_GB2312"/>
              </w:rPr>
              <w:t>项目经理资历和业绩</w:t>
            </w:r>
          </w:p>
        </w:tc>
        <w:tc>
          <w:tcPr>
            <w:tcW w:type="dxa" w:w="2492"/>
          </w:tcPr>
          <w:p>
            <w:pPr>
              <w:pStyle w:val="null3"/>
            </w:pPr>
            <w:r>
              <w:rPr>
                <w:rFonts w:ascii="仿宋_GB2312" w:hAnsi="仿宋_GB2312" w:cs="仿宋_GB2312" w:eastAsia="仿宋_GB2312"/>
              </w:rPr>
              <w:t>①项目经理具备工程类职称：中级及以上得3分，其他不得分；评审依据：以供应商加盖公章的职称证电子证书或复印件或扫描件为准。②项目经理业绩：2022年1月1日至响应文件递交截止之日具有类似项目已完成的施工业绩（以合同签订时间为准），提供1个得1分，满分2分。评审依据：业绩证明材料包括①中标（成交）通知书②施工合同。证明材料需体现项目经理姓名，否则不予认定。业绩可以与企业类似业绩重复，以供应商加盖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拟派项目负责人简历表.pdf</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①基本要求：项目部人员组成除项目经理外不少于5人，配备施工员、质量员、安全员、材料员、资料员各1人，满足此项要求得基本分8分，少1人扣1.6分，扣完为止；②在满足基本要求的基础上，每增加1人（新增岗位或岗位新增人员）加0.5分，最多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a.机械设备配备齐全、科学、合理，完全匹配项目需求，列明型号、数量及进场计划，得4.1～5分；b.机械设备配备较齐全、合理，基本满足项目需求，但部分设备未明确计划或型号，得3.1～4分；c.配备一般，无重大遗漏，但未详细说明合理性或计划，得3分；d.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a.方案内容全面，技术措施先进，针对关键工序有详细工艺流程图及质量控制点，可操作性强，得8.1～10分；b.方案较全面，技术措施可行，但部分工序描述简略或缺乏细节，得6.1～8分；c.方案基本可行，但无显著亮点或针对性，得6分；d.不响应或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a.进度计划采用网络图/横道图，关键线路清晰；对天气、设备故障、交叉施工等风险有3项以上具体应对措施，逻辑严谨，得6.5～8分；b.进度计划完整，有基本保障措施，但风险应对仅1～2项或缺乏细节,得4.9～6.4分；c.仅提供通用性工期保证措施，无项目特异性，得4.8分；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a.质量安全目标明确，分项控制指标量化；针对高风险工序有专项预案及演练计划，得6.5～8分；b.质量安全措施完整，但部分控制指标未量化或预案缺乏细节，得4.9～6.4分；c.仅提供通用性承诺，无具体控制手段，得4.8分；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a.提出创新性环保措施（如扬尘实时监测、废水循环利用）；文明施工细化至材料堆放、标牌设置、社区沟通等具体环节，得5.7～7分；b.环保措施符合法规要求，文明施工有基本规划但未细化，得4.3～5.6分；c.仅提供模板化环保承诺，得4.2分；d.不响应或无此项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a.风险清单全面（≥5类），应急预案包含响应流程、责任人及备用资源（如备用发电机、医疗点），得1.6～2分；b.风险清单一般（3～4类），预案仅有流程无资源保障，得1.2～1.5分；c.仅列举风险无具体预案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详见附件：近年完成的类似项目情况表.pdf</w:t>
      </w:r>
    </w:p>
    <w:p>
      <w:pPr>
        <w:pStyle w:val="null3"/>
        <w:ind w:firstLine="960"/>
      </w:pPr>
      <w:r>
        <w:rPr>
          <w:rFonts w:ascii="仿宋_GB2312" w:hAnsi="仿宋_GB2312" w:cs="仿宋_GB2312" w:eastAsia="仿宋_GB2312"/>
        </w:rPr>
        <w:t>详见附件：拟派项目负责人简历表.pdf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详见附件：施工组织设计.pdf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