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版本号：ZZD招202503820250905001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渭南市白水县2025年历史遗留矿山生态修复项目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ZZD招2025038</w:t>
      </w:r>
      <w:r>
        <w:br/>
      </w:r>
      <w:r>
        <w:br/>
      </w:r>
      <w:r>
        <w:br/>
      </w:r>
    </w:p>
    <w:p>
      <w:pPr>
        <w:pStyle w:val="null3"/>
        <w:jc w:val="center"/>
        <w:outlineLvl w:val="2"/>
      </w:pPr>
      <w:r>
        <w:rPr>
          <w:rFonts w:ascii="仿宋_GB2312" w:hAnsi="仿宋_GB2312" w:cs="仿宋_GB2312" w:eastAsia="仿宋_GB2312"/>
          <w:sz w:val="28"/>
          <w:b/>
        </w:rPr>
        <w:t>白水县自然资源局</w:t>
      </w:r>
    </w:p>
    <w:p>
      <w:pPr>
        <w:pStyle w:val="null3"/>
        <w:jc w:val="center"/>
        <w:outlineLvl w:val="2"/>
      </w:pPr>
      <w:r>
        <w:rPr>
          <w:rFonts w:ascii="仿宋_GB2312" w:hAnsi="仿宋_GB2312" w:cs="仿宋_GB2312" w:eastAsia="仿宋_GB2312"/>
          <w:sz w:val="28"/>
          <w:b/>
        </w:rPr>
        <w:t>中智达项目管理有限公司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中智达项目管理有限公司</w:t>
      </w:r>
      <w:r>
        <w:rPr>
          <w:rFonts w:ascii="仿宋_GB2312" w:hAnsi="仿宋_GB2312" w:cs="仿宋_GB2312" w:eastAsia="仿宋_GB2312"/>
        </w:rPr>
        <w:t>（以下简称“代理机构”）受</w:t>
      </w:r>
      <w:r>
        <w:rPr>
          <w:rFonts w:ascii="仿宋_GB2312" w:hAnsi="仿宋_GB2312" w:cs="仿宋_GB2312" w:eastAsia="仿宋_GB2312"/>
        </w:rPr>
        <w:t>白水县自然资源局</w:t>
      </w:r>
      <w:r>
        <w:rPr>
          <w:rFonts w:ascii="仿宋_GB2312" w:hAnsi="仿宋_GB2312" w:cs="仿宋_GB2312" w:eastAsia="仿宋_GB2312"/>
        </w:rPr>
        <w:t>委托，拟对</w:t>
      </w:r>
      <w:r>
        <w:rPr>
          <w:rFonts w:ascii="仿宋_GB2312" w:hAnsi="仿宋_GB2312" w:cs="仿宋_GB2312" w:eastAsia="仿宋_GB2312"/>
        </w:rPr>
        <w:t>渭南市白水县2025年历史遗留矿山生态修复项目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ZZD招2025038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渭南市白水县2025年历史遗留矿山生态修复项目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废弃建筑物拆除、封堵废旧井口、渣堆开挖清运、回填压实、坡面整治、场地平整、格宾墙挡土固渣、表土外购、覆土、种草种树、修筑田埂、监测工程及管护等。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采购包1（渭南市白水县2025年历史遗留矿山生态修复）：属于专门面向中小企业采购。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财务审计报告（包括经第三方审计机构出具的审计报告，包含资产负债表、利润表、现金流量表和财务报表附注，成立时间至提交磋商响应文件截止时间不足一年的可提供成立后任意时段的资产负债表），或其开标前六个月内基本存款账户开户银行出具的资信证明。</w:t>
      </w:r>
    </w:p>
    <w:p>
      <w:pPr>
        <w:pStyle w:val="null3"/>
      </w:pPr>
      <w:r>
        <w:rPr>
          <w:rFonts w:ascii="仿宋_GB2312" w:hAnsi="仿宋_GB2312" w:cs="仿宋_GB2312" w:eastAsia="仿宋_GB2312"/>
        </w:rPr>
        <w:t>3、税收缴纳证明：提供2024年8月至今已缴纳的至少一个月的纳税证明或完税证明（除印花税以外的税种），依法免税的单位应提供相关证明材料。</w:t>
      </w:r>
    </w:p>
    <w:p>
      <w:pPr>
        <w:pStyle w:val="null3"/>
      </w:pPr>
      <w:r>
        <w:rPr>
          <w:rFonts w:ascii="仿宋_GB2312" w:hAnsi="仿宋_GB2312" w:cs="仿宋_GB2312" w:eastAsia="仿宋_GB2312"/>
        </w:rPr>
        <w:t>4、社会保障资金缴纳证明：提供2024年8月至今已缴存的至少一个月的社会保障资金缴存单据或社保机构开具的社会保险参保缴费情况证明，依法不需要缴纳社会保障资金的单位应提供相关证明材料。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5、书面声明：参加政府采购活动前三年内，在经营活动中没有重大违法记录的书面声明。</w:t>
      </w:r>
    </w:p>
    <w:p>
      <w:pPr>
        <w:pStyle w:val="null3"/>
      </w:pPr>
      <w:r>
        <w:rPr>
          <w:rFonts w:ascii="仿宋_GB2312" w:hAnsi="仿宋_GB2312" w:cs="仿宋_GB2312" w:eastAsia="仿宋_GB2312"/>
        </w:rPr>
        <w:t>6、控股管理关系：单位负责人为同一人或者存在直接控股、管理关系的不同供应商，不得参加同一合同项下的政府采购活动；为本项目提供整体设计、规范编制或项目管理、监理、检测等服务的供应商，不得再参加本项目的其他采购活动。</w:t>
      </w:r>
    </w:p>
    <w:p>
      <w:pPr>
        <w:pStyle w:val="null3"/>
      </w:pPr>
      <w:r>
        <w:rPr>
          <w:rFonts w:ascii="仿宋_GB2312" w:hAnsi="仿宋_GB2312" w:cs="仿宋_GB2312" w:eastAsia="仿宋_GB2312"/>
        </w:rPr>
        <w:t>7、信誉查询：供应商不得为中国执行信息公开网（http://zxgk.court.gov.cn/shixin）中被列入失信的企业；不得为“信用中国”网站（www.creditchina.gov.cn）中列入“重大税收违法失信主体”当事人名单的供应商。</w:t>
      </w:r>
    </w:p>
    <w:p>
      <w:pPr>
        <w:pStyle w:val="null3"/>
      </w:pPr>
      <w:r>
        <w:rPr>
          <w:rFonts w:ascii="仿宋_GB2312" w:hAnsi="仿宋_GB2312" w:cs="仿宋_GB2312" w:eastAsia="仿宋_GB2312"/>
        </w:rPr>
        <w:t>8、承诺函：提供具有履行合同所必需的设备和专业技术能力的承诺函。</w:t>
      </w:r>
    </w:p>
    <w:p>
      <w:pPr>
        <w:pStyle w:val="null3"/>
      </w:pPr>
      <w:r>
        <w:rPr>
          <w:rFonts w:ascii="仿宋_GB2312" w:hAnsi="仿宋_GB2312" w:cs="仿宋_GB2312" w:eastAsia="仿宋_GB2312"/>
        </w:rPr>
        <w:t>9、供应商资质要求：供应商应具备地质灾害治理工程乙级及以上（含乙级）资质，具备有效的安全生产许可证。</w:t>
      </w:r>
    </w:p>
    <w:p>
      <w:pPr>
        <w:pStyle w:val="null3"/>
      </w:pPr>
      <w:r>
        <w:rPr>
          <w:rFonts w:ascii="仿宋_GB2312" w:hAnsi="仿宋_GB2312" w:cs="仿宋_GB2312" w:eastAsia="仿宋_GB2312"/>
        </w:rPr>
        <w:t>10、拟派项目经理资质要求：拟派项目经理须具备建筑工程专业或市政公用工程专业或水利水电工程专业二级及以上（含二级）注册建造师证书和具有安全考核合格B证，或具有相关专业（水文地质、工程地质、岩土工程等）高级及以上职称，且未担任其他在建工程项目（提供无在建承诺书），无不良记录。</w:t>
      </w:r>
    </w:p>
    <w:p>
      <w:pPr>
        <w:pStyle w:val="null3"/>
      </w:pPr>
      <w:r>
        <w:rPr>
          <w:rFonts w:ascii="仿宋_GB2312" w:hAnsi="仿宋_GB2312" w:cs="仿宋_GB2312" w:eastAsia="仿宋_GB2312"/>
        </w:rPr>
        <w:t>11、法定代表人授权书：法定代表人授权书（附法定代表人身份证复印件）及被授权人身份证（法定代表人直接参加投标须提供法定代表人证明书及身份证原件）。</w:t>
      </w:r>
    </w:p>
    <w:p>
      <w:pPr>
        <w:pStyle w:val="null3"/>
      </w:pPr>
      <w:r>
        <w:rPr>
          <w:rFonts w:ascii="仿宋_GB2312" w:hAnsi="仿宋_GB2312" w:cs="仿宋_GB2312" w:eastAsia="仿宋_GB2312"/>
        </w:rPr>
        <w:t>12、本项目专门面向中小企业采购：本项目专门面向中小企业采购，供应商须为中小微企业，并提供声明函。</w:t>
      </w:r>
    </w:p>
    <w:p>
      <w:pPr>
        <w:pStyle w:val="null3"/>
      </w:pPr>
      <w:r>
        <w:rPr>
          <w:rFonts w:ascii="仿宋_GB2312" w:hAnsi="仿宋_GB2312" w:cs="仿宋_GB2312" w:eastAsia="仿宋_GB2312"/>
        </w:rPr>
        <w:t>13、非联合体声明：本项目不接受联合体磋商。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白水县自然资源局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白水县雷公路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高小强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18191817349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中智达项目管理有限公司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西安市经济技术开发区凤城四路世融国际中心22层2205室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朱燕妮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18710847032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13991639110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采购包1：2,376,408.59元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服务费参照国家发展和改革委员会办公厅发改办价格【2003】857号文的规定，经协商由成交供应商按国家发展和改革委员发改价格【2011】534号文规定取费标准向采购代理机构支付招标代理服务费（包含“招标代理费、会务费（如有）”）；代理服务费由成交单位在领取成交通知书前，向中智达项目管理有限公司支付。如本项目各包服务费不足伍仟元则供应商按伍仟元支付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白水县自然资源局</w:t>
      </w:r>
      <w:r>
        <w:rPr>
          <w:rFonts w:ascii="仿宋_GB2312" w:hAnsi="仿宋_GB2312" w:cs="仿宋_GB2312" w:eastAsia="仿宋_GB2312"/>
        </w:rPr>
        <w:t>和</w:t>
      </w:r>
      <w:r>
        <w:rPr>
          <w:rFonts w:ascii="仿宋_GB2312" w:hAnsi="仿宋_GB2312" w:cs="仿宋_GB2312" w:eastAsia="仿宋_GB2312"/>
        </w:rPr>
        <w:t>中智达项目管理有限公司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白水县自然资源局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中智达项目管理有限公司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白水县自然资源局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中智达项目管理有限公司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按照本项目合同内容执行。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中智达项目管理有限公司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中智达项目管理有限公司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中智达项目管理有限公司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联系人：朱燕妮</w:t>
      </w:r>
    </w:p>
    <w:p>
      <w:pPr>
        <w:pStyle w:val="null3"/>
      </w:pPr>
      <w:r>
        <w:rPr>
          <w:rFonts w:ascii="仿宋_GB2312" w:hAnsi="仿宋_GB2312" w:cs="仿宋_GB2312" w:eastAsia="仿宋_GB2312"/>
        </w:rPr>
        <w:t>联系电话：18710847032</w:t>
      </w:r>
    </w:p>
    <w:p>
      <w:pPr>
        <w:pStyle w:val="null3"/>
      </w:pPr>
      <w:r>
        <w:rPr>
          <w:rFonts w:ascii="仿宋_GB2312" w:hAnsi="仿宋_GB2312" w:cs="仿宋_GB2312" w:eastAsia="仿宋_GB2312"/>
        </w:rPr>
        <w:t>地址：西安市经济技术开发区凤城四路世融国际中心22层2205室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2,376,408.59</w:t>
      </w:r>
    </w:p>
    <w:p>
      <w:pPr>
        <w:pStyle w:val="null3"/>
      </w:pPr>
      <w:r>
        <w:rPr>
          <w:rFonts w:ascii="仿宋_GB2312" w:hAnsi="仿宋_GB2312" w:cs="仿宋_GB2312" w:eastAsia="仿宋_GB2312"/>
        </w:rPr>
        <w:t>采购包最高限价（元）: 2,376,408.59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渭南市白水县2025年历史遗留矿山生态修复</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2,376,408.59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标的名称：渭南市白水县2025年历史遗留矿山生态修复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spacing w:before="150"/>
              <w:jc w:val="left"/>
            </w:pPr>
            <w:r>
              <w:rPr>
                <w:rFonts w:ascii="仿宋_GB2312" w:hAnsi="仿宋_GB2312" w:cs="仿宋_GB2312" w:eastAsia="仿宋_GB2312"/>
                <w:sz w:val="30"/>
                <w:b/>
                <w:color w:val="000000"/>
              </w:rPr>
              <w:t>项目概况</w:t>
            </w:r>
          </w:p>
          <w:p>
            <w:pPr>
              <w:pStyle w:val="null3"/>
              <w:jc w:val="left"/>
            </w:pPr>
            <w:r>
              <w:rPr>
                <w:rFonts w:ascii="仿宋_GB2312" w:hAnsi="仿宋_GB2312" w:cs="仿宋_GB2312" w:eastAsia="仿宋_GB2312"/>
                <w:sz w:val="24"/>
                <w:color w:val="000000"/>
              </w:rPr>
              <w:t>渭南市白水县2025年历史遗留矿山生态修复项目位于白水县，包含5处历史遗留图斑，行政区划上涉及西固镇、城关街道办、雷牙镇等3个乡镇5个行政村。项目区位于白水县“三区两</w:t>
            </w:r>
            <w:r>
              <w:rPr>
                <w:rFonts w:ascii="仿宋_GB2312" w:hAnsi="仿宋_GB2312" w:cs="仿宋_GB2312" w:eastAsia="仿宋_GB2312"/>
                <w:sz w:val="24"/>
                <w:color w:val="000000"/>
              </w:rPr>
              <w:t>线”直观可视范围内，区内由于不合理的采矿和场地</w:t>
            </w:r>
            <w:r>
              <w:rPr>
                <w:rFonts w:ascii="仿宋_GB2312" w:hAnsi="仿宋_GB2312" w:cs="仿宋_GB2312" w:eastAsia="仿宋_GB2312"/>
                <w:sz w:val="24"/>
                <w:color w:val="000000"/>
              </w:rPr>
              <w:t>建设，产生大量生态环境问题，造成区内</w:t>
            </w:r>
            <w:r>
              <w:rPr>
                <w:rFonts w:ascii="仿宋_GB2312" w:hAnsi="仿宋_GB2312" w:cs="仿宋_GB2312" w:eastAsia="仿宋_GB2312"/>
                <w:sz w:val="24"/>
                <w:color w:val="000000"/>
              </w:rPr>
              <w:t>局部存在裸露面，同时在原生产过程中废渣随意堆积，破坏并占用了大量的土地、植被资源，</w:t>
            </w:r>
            <w:r>
              <w:rPr>
                <w:rFonts w:ascii="仿宋_GB2312" w:hAnsi="仿宋_GB2312" w:cs="仿宋_GB2312" w:eastAsia="仿宋_GB2312"/>
                <w:sz w:val="24"/>
                <w:color w:val="000000"/>
              </w:rPr>
              <w:t>破坏了地貌景观，受当地气候条件及地质条件的影响，自然植被退化、水土流失严重，对区内</w:t>
            </w:r>
            <w:r>
              <w:rPr>
                <w:rFonts w:ascii="仿宋_GB2312" w:hAnsi="仿宋_GB2312" w:cs="仿宋_GB2312" w:eastAsia="仿宋_GB2312"/>
                <w:sz w:val="24"/>
                <w:color w:val="000000"/>
              </w:rPr>
              <w:t>生态环境影响较大，亟待治理。</w:t>
            </w:r>
          </w:p>
          <w:p>
            <w:pPr>
              <w:pStyle w:val="null3"/>
              <w:ind w:right="60" w:firstLine="481"/>
              <w:jc w:val="both"/>
            </w:pPr>
            <w:r>
              <w:rPr>
                <w:rFonts w:ascii="仿宋_GB2312" w:hAnsi="仿宋_GB2312" w:cs="仿宋_GB2312" w:eastAsia="仿宋_GB2312"/>
                <w:sz w:val="24"/>
                <w:color w:val="000000"/>
              </w:rPr>
              <w:t>根据“陕西省自然资源厅陕西省财政厅关于印发《</w:t>
            </w:r>
            <w:r>
              <w:rPr>
                <w:rFonts w:ascii="仿宋_GB2312" w:hAnsi="仿宋_GB2312" w:cs="仿宋_GB2312" w:eastAsia="仿宋_GB2312"/>
                <w:sz w:val="24"/>
                <w:color w:val="000000"/>
              </w:rPr>
              <w:t>关于做好2025年省级自然资源生态修复</w:t>
            </w:r>
            <w:r>
              <w:rPr>
                <w:rFonts w:ascii="仿宋_GB2312" w:hAnsi="仿宋_GB2312" w:cs="仿宋_GB2312" w:eastAsia="仿宋_GB2312"/>
                <w:sz w:val="24"/>
                <w:color w:val="000000"/>
              </w:rPr>
              <w:t>保护专项资金项目申报工作的通知》（陕自然资发〔2024〕1242号）”,白水县</w:t>
            </w:r>
            <w:r>
              <w:rPr>
                <w:rFonts w:ascii="仿宋_GB2312" w:hAnsi="仿宋_GB2312" w:cs="仿宋_GB2312" w:eastAsia="仿宋_GB2312"/>
                <w:sz w:val="24"/>
                <w:color w:val="000000"/>
              </w:rPr>
              <w:t>结合本县遗留矿</w:t>
            </w:r>
            <w:r>
              <w:rPr>
                <w:rFonts w:ascii="仿宋_GB2312" w:hAnsi="仿宋_GB2312" w:cs="仿宋_GB2312" w:eastAsia="仿宋_GB2312"/>
                <w:sz w:val="24"/>
                <w:color w:val="000000"/>
              </w:rPr>
              <w:t>山图斑治理实际，拟对境内5处历史遗留矿山图斑开展生态修复工作，编制完成了《渭南市白</w:t>
            </w:r>
            <w:r>
              <w:rPr>
                <w:rFonts w:ascii="仿宋_GB2312" w:hAnsi="仿宋_GB2312" w:cs="仿宋_GB2312" w:eastAsia="仿宋_GB2312"/>
                <w:sz w:val="24"/>
                <w:color w:val="000000"/>
              </w:rPr>
              <w:t>水县2025年历史遗留矿山生态修复项目实施方案》。202</w:t>
            </w:r>
            <w:r>
              <w:rPr>
                <w:rFonts w:ascii="仿宋_GB2312" w:hAnsi="仿宋_GB2312" w:cs="仿宋_GB2312" w:eastAsia="仿宋_GB2312"/>
                <w:sz w:val="24"/>
                <w:color w:val="000000"/>
              </w:rPr>
              <w:t>4年11月，陕西省自然资源厅组织专家</w:t>
            </w:r>
            <w:r>
              <w:rPr>
                <w:rFonts w:ascii="仿宋_GB2312" w:hAnsi="仿宋_GB2312" w:cs="仿宋_GB2312" w:eastAsia="仿宋_GB2312"/>
                <w:sz w:val="24"/>
                <w:color w:val="000000"/>
              </w:rPr>
              <w:t>对项目《方案》进行审查，并同意了该项目的立项申请。</w:t>
            </w:r>
          </w:p>
          <w:p>
            <w:pPr>
              <w:pStyle w:val="null3"/>
              <w:ind w:firstLine="469"/>
              <w:jc w:val="both"/>
            </w:pPr>
            <w:r>
              <w:rPr>
                <w:rFonts w:ascii="仿宋_GB2312" w:hAnsi="仿宋_GB2312" w:cs="仿宋_GB2312" w:eastAsia="仿宋_GB2312"/>
                <w:sz w:val="24"/>
                <w:color w:val="000000"/>
              </w:rPr>
              <w:t>2025年1月，陕西省自然资源厅下发《渭南市自然资源和规划局转发省厅关于下达2025年</w:t>
            </w:r>
            <w:r>
              <w:rPr>
                <w:rFonts w:ascii="仿宋_GB2312" w:hAnsi="仿宋_GB2312" w:cs="仿宋_GB2312" w:eastAsia="仿宋_GB2312"/>
                <w:sz w:val="24"/>
                <w:color w:val="000000"/>
              </w:rPr>
              <w:t>度历史遗留矿山生态修复项目计划的通知》（渭自</w:t>
            </w:r>
            <w:r>
              <w:rPr>
                <w:rFonts w:ascii="仿宋_GB2312" w:hAnsi="仿宋_GB2312" w:cs="仿宋_GB2312" w:eastAsia="仿宋_GB2312"/>
                <w:sz w:val="24"/>
                <w:color w:val="000000"/>
              </w:rPr>
              <w:t>然资修复发〔2025〕21号）文，下拨省级补</w:t>
            </w:r>
            <w:r>
              <w:rPr>
                <w:rFonts w:ascii="仿宋_GB2312" w:hAnsi="仿宋_GB2312" w:cs="仿宋_GB2312" w:eastAsia="仿宋_GB2312"/>
                <w:sz w:val="24"/>
                <w:color w:val="000000"/>
              </w:rPr>
              <w:t>助资金用于渭南市白水县2025年历史遗留矿山生态修复项目。实施总目标：人工修复</w:t>
            </w:r>
            <w:r>
              <w:rPr>
                <w:rFonts w:ascii="仿宋_GB2312" w:hAnsi="仿宋_GB2312" w:cs="仿宋_GB2312" w:eastAsia="仿宋_GB2312"/>
                <w:sz w:val="24"/>
                <w:color w:val="000000"/>
              </w:rPr>
              <w:t>结合自然恢复、转型利用的解决方案，完成矿山生态修复面积12</w:t>
            </w:r>
            <w:r>
              <w:rPr>
                <w:rFonts w:ascii="仿宋_GB2312" w:hAnsi="仿宋_GB2312" w:cs="仿宋_GB2312" w:eastAsia="仿宋_GB2312"/>
                <w:sz w:val="24"/>
                <w:color w:val="000000"/>
              </w:rPr>
              <w:t>.51公顷；从根本上消除矿山</w:t>
            </w:r>
            <w:r>
              <w:rPr>
                <w:rFonts w:ascii="仿宋_GB2312" w:hAnsi="仿宋_GB2312" w:cs="仿宋_GB2312" w:eastAsia="仿宋_GB2312"/>
                <w:sz w:val="24"/>
                <w:color w:val="000000"/>
              </w:rPr>
              <w:t>开发引起的地貌景观破坏、压占土地等生态环境问题，恢复当地生态功能；提升废弃矿山与周</w:t>
            </w:r>
            <w:r>
              <w:rPr>
                <w:rFonts w:ascii="仿宋_GB2312" w:hAnsi="仿宋_GB2312" w:cs="仿宋_GB2312" w:eastAsia="仿宋_GB2312"/>
                <w:sz w:val="24"/>
                <w:color w:val="000000"/>
              </w:rPr>
              <w:t>边景观生态和生态系统服务综合效益，探索生态修复与绿色康养、生态旅游等融合发展的模式，</w:t>
            </w:r>
            <w:r>
              <w:rPr>
                <w:rFonts w:ascii="仿宋_GB2312" w:hAnsi="仿宋_GB2312" w:cs="仿宋_GB2312" w:eastAsia="仿宋_GB2312"/>
                <w:sz w:val="24"/>
                <w:color w:val="000000"/>
              </w:rPr>
              <w:t>助推乡村振兴，达到人与自然和谐共生的目标。</w:t>
            </w:r>
          </w:p>
          <w:p>
            <w:pPr>
              <w:pStyle w:val="null3"/>
              <w:numPr>
                <w:ilvl w:val="0"/>
                <w:numId w:val="1"/>
              </w:numPr>
              <w:spacing w:before="150"/>
              <w:jc w:val="left"/>
            </w:pPr>
            <w:r>
              <w:rPr>
                <w:rFonts w:ascii="仿宋_GB2312" w:hAnsi="仿宋_GB2312" w:cs="仿宋_GB2312" w:eastAsia="仿宋_GB2312"/>
                <w:sz w:val="30"/>
                <w:b/>
                <w:color w:val="000000"/>
              </w:rPr>
              <w:t>编制依据</w:t>
            </w:r>
          </w:p>
          <w:p>
            <w:pPr>
              <w:pStyle w:val="null3"/>
              <w:numPr>
                <w:ilvl w:val="0"/>
                <w:numId w:val="2"/>
              </w:numPr>
              <w:spacing w:before="120"/>
              <w:jc w:val="both"/>
            </w:pPr>
            <w:r>
              <w:rPr>
                <w:rFonts w:ascii="仿宋_GB2312" w:hAnsi="仿宋_GB2312" w:cs="仿宋_GB2312" w:eastAsia="仿宋_GB2312"/>
                <w:sz w:val="24"/>
                <w:color w:val="000000"/>
              </w:rPr>
              <w:t>渭南市白水县2025年历史遗留矿山生态修复项目施工图纸及送审工程预算书等资料;</w:t>
            </w:r>
          </w:p>
          <w:p>
            <w:pPr>
              <w:pStyle w:val="null3"/>
              <w:numPr>
                <w:ilvl w:val="0"/>
                <w:numId w:val="2"/>
              </w:numPr>
              <w:spacing w:before="120"/>
              <w:jc w:val="both"/>
            </w:pPr>
            <w:r>
              <w:rPr>
                <w:rFonts w:ascii="仿宋_GB2312" w:hAnsi="仿宋_GB2312" w:cs="仿宋_GB2312" w:eastAsia="仿宋_GB2312"/>
                <w:sz w:val="24"/>
                <w:color w:val="000000"/>
              </w:rPr>
              <w:t>关于《陕西省水利工程设计概(估)算编制规定》，《陕西省水利建筑工程概算定额》等计价依据的批复，(陕发改项目〔2017】1606号);</w:t>
            </w:r>
          </w:p>
          <w:p>
            <w:pPr>
              <w:pStyle w:val="null3"/>
              <w:numPr>
                <w:ilvl w:val="0"/>
                <w:numId w:val="2"/>
              </w:numPr>
              <w:spacing w:before="120"/>
              <w:jc w:val="both"/>
            </w:pPr>
            <w:r>
              <w:rPr>
                <w:rFonts w:ascii="仿宋_GB2312" w:hAnsi="仿宋_GB2312" w:cs="仿宋_GB2312" w:eastAsia="仿宋_GB2312"/>
                <w:sz w:val="24"/>
                <w:color w:val="000000"/>
              </w:rPr>
              <w:t>《陕西省水利工程设计概(估)算编制规定》(2017年)</w:t>
            </w:r>
            <w:r>
              <w:rPr>
                <w:rFonts w:ascii="仿宋_GB2312" w:hAnsi="仿宋_GB2312" w:cs="仿宋_GB2312" w:eastAsia="仿宋_GB2312"/>
                <w:sz w:val="24"/>
                <w:color w:val="000000"/>
              </w:rPr>
              <w:t>；</w:t>
            </w:r>
          </w:p>
          <w:p>
            <w:pPr>
              <w:pStyle w:val="null3"/>
              <w:numPr>
                <w:ilvl w:val="0"/>
                <w:numId w:val="2"/>
              </w:numPr>
              <w:spacing w:before="120"/>
              <w:jc w:val="both"/>
            </w:pPr>
            <w:r>
              <w:rPr>
                <w:rFonts w:ascii="仿宋_GB2312" w:hAnsi="仿宋_GB2312" w:cs="仿宋_GB2312" w:eastAsia="仿宋_GB2312"/>
                <w:sz w:val="24"/>
                <w:color w:val="000000"/>
              </w:rPr>
              <w:t>《陕西省水利建筑工程预算定额》(2017年)</w:t>
            </w:r>
            <w:r>
              <w:rPr>
                <w:rFonts w:ascii="仿宋_GB2312" w:hAnsi="仿宋_GB2312" w:cs="仿宋_GB2312" w:eastAsia="仿宋_GB2312"/>
                <w:sz w:val="24"/>
                <w:color w:val="000000"/>
              </w:rPr>
              <w:t>；</w:t>
            </w:r>
          </w:p>
          <w:p>
            <w:pPr>
              <w:pStyle w:val="null3"/>
              <w:numPr>
                <w:ilvl w:val="0"/>
                <w:numId w:val="2"/>
              </w:numPr>
              <w:spacing w:before="120"/>
              <w:jc w:val="both"/>
            </w:pPr>
            <w:r>
              <w:rPr>
                <w:rFonts w:ascii="仿宋_GB2312" w:hAnsi="仿宋_GB2312" w:cs="仿宋_GB2312" w:eastAsia="仿宋_GB2312"/>
                <w:sz w:val="24"/>
                <w:color w:val="000000"/>
              </w:rPr>
              <w:t>《陕西省水利工程施工机械台班费定额》(2017年)</w:t>
            </w:r>
            <w:r>
              <w:rPr>
                <w:rFonts w:ascii="仿宋_GB2312" w:hAnsi="仿宋_GB2312" w:cs="仿宋_GB2312" w:eastAsia="仿宋_GB2312"/>
                <w:sz w:val="24"/>
                <w:color w:val="000000"/>
              </w:rPr>
              <w:t>；</w:t>
            </w:r>
          </w:p>
          <w:p>
            <w:pPr>
              <w:pStyle w:val="null3"/>
              <w:numPr>
                <w:ilvl w:val="0"/>
                <w:numId w:val="2"/>
              </w:numPr>
              <w:spacing w:before="120"/>
              <w:jc w:val="both"/>
            </w:pPr>
            <w:r>
              <w:rPr>
                <w:rFonts w:ascii="仿宋_GB2312" w:hAnsi="仿宋_GB2312" w:cs="仿宋_GB2312" w:eastAsia="仿宋_GB2312"/>
                <w:sz w:val="24"/>
                <w:color w:val="000000"/>
              </w:rPr>
              <w:t>国家发展改革委、建设部《关于印发《建设工程监理与相关服务收费管理规定〉的通知》(发改价格[2007]670号)</w:t>
            </w:r>
            <w:r>
              <w:rPr>
                <w:rFonts w:ascii="仿宋_GB2312" w:hAnsi="仿宋_GB2312" w:cs="仿宋_GB2312" w:eastAsia="仿宋_GB2312"/>
                <w:sz w:val="24"/>
                <w:color w:val="000000"/>
              </w:rPr>
              <w:t>；</w:t>
            </w:r>
          </w:p>
          <w:p>
            <w:pPr>
              <w:pStyle w:val="null3"/>
              <w:numPr>
                <w:ilvl w:val="0"/>
                <w:numId w:val="2"/>
              </w:numPr>
              <w:spacing w:before="120"/>
              <w:jc w:val="both"/>
            </w:pPr>
            <w:r>
              <w:rPr>
                <w:rFonts w:ascii="仿宋_GB2312" w:hAnsi="仿宋_GB2312" w:cs="仿宋_GB2312" w:eastAsia="仿宋_GB2312"/>
                <w:sz w:val="24"/>
                <w:color w:val="000000"/>
              </w:rPr>
              <w:t>《关于深化增值税改革有关政策的公告》(财政部 税务总局 海关总署公告2019年第 39号);</w:t>
            </w:r>
          </w:p>
          <w:p>
            <w:pPr>
              <w:pStyle w:val="null3"/>
              <w:numPr>
                <w:ilvl w:val="0"/>
                <w:numId w:val="2"/>
              </w:numPr>
              <w:spacing w:before="120"/>
              <w:jc w:val="both"/>
            </w:pPr>
            <w:r>
              <w:rPr>
                <w:rFonts w:ascii="仿宋_GB2312" w:hAnsi="仿宋_GB2312" w:cs="仿宋_GB2312" w:eastAsia="仿宋_GB2312"/>
                <w:sz w:val="24"/>
                <w:color w:val="000000"/>
              </w:rPr>
              <w:t>主要材料价格执行《渭南市工程造价信息》2025年第二期信息价及白水县当地材料价格，并参考广材网专业测定价及市场调研价格计取;</w:t>
            </w:r>
          </w:p>
          <w:p>
            <w:pPr>
              <w:pStyle w:val="null3"/>
              <w:numPr>
                <w:ilvl w:val="0"/>
                <w:numId w:val="2"/>
              </w:numPr>
              <w:spacing w:before="120"/>
              <w:jc w:val="both"/>
            </w:pPr>
            <w:r>
              <w:rPr>
                <w:rFonts w:ascii="仿宋_GB2312" w:hAnsi="仿宋_GB2312" w:cs="仿宋_GB2312" w:eastAsia="仿宋_GB2312"/>
                <w:sz w:val="24"/>
                <w:color w:val="000000"/>
              </w:rPr>
              <w:t>与建设工程项目有关的标准、规范、技术资料;</w:t>
            </w:r>
          </w:p>
          <w:p>
            <w:pPr>
              <w:pStyle w:val="null3"/>
              <w:numPr>
                <w:ilvl w:val="0"/>
                <w:numId w:val="2"/>
              </w:numPr>
              <w:spacing w:before="120"/>
              <w:jc w:val="both"/>
            </w:pPr>
            <w:r>
              <w:rPr>
                <w:rFonts w:ascii="仿宋_GB2312" w:hAnsi="仿宋_GB2312" w:cs="仿宋_GB2312" w:eastAsia="仿宋_GB2312"/>
                <w:sz w:val="24"/>
                <w:color w:val="000000"/>
              </w:rPr>
              <w:t>影响工程造价的其他相关资料:</w:t>
            </w:r>
          </w:p>
          <w:p>
            <w:pPr>
              <w:pStyle w:val="null3"/>
              <w:numPr>
                <w:ilvl w:val="0"/>
                <w:numId w:val="1"/>
              </w:numPr>
              <w:spacing w:before="150"/>
              <w:jc w:val="left"/>
            </w:pPr>
            <w:r>
              <w:rPr>
                <w:rFonts w:ascii="仿宋_GB2312" w:hAnsi="仿宋_GB2312" w:cs="仿宋_GB2312" w:eastAsia="仿宋_GB2312"/>
                <w:sz w:val="30"/>
                <w:b/>
                <w:color w:val="000000"/>
              </w:rPr>
              <w:t>价格取定</w:t>
            </w:r>
          </w:p>
          <w:p>
            <w:pPr>
              <w:pStyle w:val="null3"/>
              <w:numPr>
                <w:ilvl w:val="0"/>
                <w:numId w:val="2"/>
              </w:numPr>
              <w:spacing w:before="120"/>
              <w:jc w:val="both"/>
            </w:pPr>
            <w:r>
              <w:rPr>
                <w:rFonts w:ascii="仿宋_GB2312" w:hAnsi="仿宋_GB2312" w:cs="仿宋_GB2312" w:eastAsia="仿宋_GB2312"/>
                <w:sz w:val="24"/>
                <w:color w:val="000000"/>
              </w:rPr>
              <w:t>人工预算单价</w:t>
            </w:r>
          </w:p>
          <w:p>
            <w:pPr>
              <w:pStyle w:val="null3"/>
              <w:spacing w:before="120"/>
              <w:ind w:firstLine="460"/>
              <w:jc w:val="both"/>
            </w:pPr>
            <w:r>
              <w:rPr>
                <w:rFonts w:ascii="仿宋_GB2312" w:hAnsi="仿宋_GB2312" w:cs="仿宋_GB2312" w:eastAsia="仿宋_GB2312"/>
                <w:sz w:val="24"/>
                <w:color w:val="000000"/>
              </w:rPr>
              <w:t>根据《陕西省水利工程设计概（估）算编制规定》，陕西省水利工程人工预算单价执行普工50元/工日，技工75元/工日标准。</w:t>
            </w:r>
          </w:p>
          <w:p>
            <w:pPr>
              <w:pStyle w:val="null3"/>
              <w:numPr>
                <w:ilvl w:val="0"/>
                <w:numId w:val="2"/>
              </w:numPr>
              <w:spacing w:before="120"/>
              <w:jc w:val="both"/>
            </w:pPr>
            <w:r>
              <w:rPr>
                <w:rFonts w:ascii="仿宋_GB2312" w:hAnsi="仿宋_GB2312" w:cs="仿宋_GB2312" w:eastAsia="仿宋_GB2312"/>
                <w:sz w:val="24"/>
                <w:color w:val="000000"/>
              </w:rPr>
              <w:t>材料预算价格</w:t>
            </w:r>
          </w:p>
          <w:p>
            <w:pPr>
              <w:pStyle w:val="null3"/>
              <w:spacing w:before="120"/>
              <w:ind w:firstLine="460"/>
              <w:jc w:val="both"/>
            </w:pPr>
            <w:r>
              <w:rPr>
                <w:rFonts w:ascii="仿宋_GB2312" w:hAnsi="仿宋_GB2312" w:cs="仿宋_GB2312" w:eastAsia="仿宋_GB2312"/>
                <w:sz w:val="24"/>
                <w:color w:val="000000"/>
              </w:rPr>
              <w:t>主要材料价格执行《渭南市工程造价信息》2025年第二期信息价及白水县当地材料价格，并参考广材</w:t>
            </w:r>
            <w:r>
              <w:rPr>
                <w:rFonts w:ascii="仿宋_GB2312" w:hAnsi="仿宋_GB2312" w:cs="仿宋_GB2312" w:eastAsia="仿宋_GB2312"/>
                <w:sz w:val="24"/>
                <w:color w:val="000000"/>
              </w:rPr>
              <w:t>网专业测定价及市场调研价格计取;</w:t>
            </w:r>
          </w:p>
          <w:p>
            <w:pPr>
              <w:pStyle w:val="null3"/>
              <w:numPr>
                <w:ilvl w:val="0"/>
                <w:numId w:val="2"/>
              </w:numPr>
              <w:spacing w:before="120"/>
              <w:jc w:val="both"/>
            </w:pPr>
            <w:r>
              <w:rPr>
                <w:rFonts w:ascii="仿宋_GB2312" w:hAnsi="仿宋_GB2312" w:cs="仿宋_GB2312" w:eastAsia="仿宋_GB2312"/>
                <w:sz w:val="24"/>
                <w:color w:val="000000"/>
              </w:rPr>
              <w:t>施工机械使用费</w:t>
            </w:r>
          </w:p>
          <w:p>
            <w:pPr>
              <w:pStyle w:val="null3"/>
              <w:spacing w:before="75"/>
              <w:ind w:right="30" w:firstLine="484"/>
              <w:jc w:val="both"/>
            </w:pPr>
            <w:r>
              <w:rPr>
                <w:rFonts w:ascii="仿宋_GB2312" w:hAnsi="仿宋_GB2312" w:cs="仿宋_GB2312" w:eastAsia="仿宋_GB2312"/>
                <w:sz w:val="24"/>
                <w:color w:val="000000"/>
              </w:rPr>
              <w:t>施工机械台班费＝一类费用＋二类费用</w:t>
            </w:r>
          </w:p>
          <w:p>
            <w:pPr>
              <w:pStyle w:val="null3"/>
              <w:spacing w:before="75"/>
              <w:ind w:right="30" w:firstLine="484"/>
              <w:jc w:val="both"/>
            </w:pPr>
            <w:r>
              <w:rPr>
                <w:rFonts w:ascii="仿宋_GB2312" w:hAnsi="仿宋_GB2312" w:cs="仿宋_GB2312" w:eastAsia="仿宋_GB2312"/>
                <w:sz w:val="24"/>
                <w:color w:val="000000"/>
              </w:rPr>
              <w:t>一类费用：直接套用《陕西省水利工程施工机械台班费定额》。</w:t>
            </w:r>
          </w:p>
          <w:p>
            <w:pPr>
              <w:pStyle w:val="null3"/>
              <w:spacing w:before="75"/>
              <w:ind w:right="30" w:firstLine="484"/>
              <w:jc w:val="both"/>
            </w:pPr>
            <w:r>
              <w:rPr>
                <w:rFonts w:ascii="仿宋_GB2312" w:hAnsi="仿宋_GB2312" w:cs="仿宋_GB2312" w:eastAsia="仿宋_GB2312"/>
                <w:sz w:val="24"/>
                <w:color w:val="000000"/>
              </w:rPr>
              <w:t>一类费用=∑定额一类费用各项消耗量</w:t>
            </w:r>
          </w:p>
          <w:p>
            <w:pPr>
              <w:pStyle w:val="null3"/>
              <w:spacing w:before="75"/>
              <w:ind w:right="30" w:firstLine="484"/>
              <w:jc w:val="both"/>
            </w:pPr>
            <w:r>
              <w:rPr>
                <w:rFonts w:ascii="仿宋_GB2312" w:hAnsi="仿宋_GB2312" w:cs="仿宋_GB2312" w:eastAsia="仿宋_GB2312"/>
                <w:sz w:val="24"/>
                <w:color w:val="000000"/>
              </w:rPr>
              <w:t>二类费用：按《陕西省水利工程施工机械台班费定额》中的消耗量乘以相应不含增值税进项税额的基础价格或本规定主要材料价格计算。</w:t>
            </w:r>
          </w:p>
          <w:p>
            <w:pPr>
              <w:pStyle w:val="null3"/>
              <w:spacing w:before="75"/>
              <w:ind w:right="30" w:firstLine="484"/>
              <w:jc w:val="both"/>
            </w:pPr>
            <w:r>
              <w:rPr>
                <w:rFonts w:ascii="仿宋_GB2312" w:hAnsi="仿宋_GB2312" w:cs="仿宋_GB2312" w:eastAsia="仿宋_GB2312"/>
                <w:sz w:val="24"/>
                <w:color w:val="000000"/>
              </w:rPr>
              <w:t>二类费用=∑（定额二类费用各项消耗量×各项基础单价或本规定各项主要材料价格）</w:t>
            </w:r>
          </w:p>
          <w:p>
            <w:pPr>
              <w:pStyle w:val="null3"/>
              <w:numPr>
                <w:ilvl w:val="0"/>
                <w:numId w:val="2"/>
              </w:numPr>
              <w:spacing w:before="120"/>
              <w:jc w:val="both"/>
            </w:pPr>
            <w:r>
              <w:rPr>
                <w:rFonts w:ascii="仿宋_GB2312" w:hAnsi="仿宋_GB2312" w:cs="仿宋_GB2312" w:eastAsia="仿宋_GB2312"/>
                <w:sz w:val="24"/>
                <w:color w:val="000000"/>
              </w:rPr>
              <w:t>砂浆、混凝土材料单价</w:t>
            </w:r>
          </w:p>
          <w:p>
            <w:pPr>
              <w:pStyle w:val="null3"/>
              <w:spacing w:before="75"/>
              <w:ind w:right="30" w:firstLine="484"/>
              <w:jc w:val="both"/>
            </w:pPr>
            <w:r>
              <w:rPr>
                <w:rFonts w:ascii="仿宋_GB2312" w:hAnsi="仿宋_GB2312" w:cs="仿宋_GB2312" w:eastAsia="仿宋_GB2312"/>
                <w:sz w:val="24"/>
                <w:color w:val="000000"/>
              </w:rPr>
              <w:t>砂浆、混凝土材料单价，根据设计给定的不同工程部位砂浆等级、混凝土等级及其配合比和龄期按不含税材料价格计算，并计入相应砌石工程和混凝土工程单价内。</w:t>
            </w:r>
          </w:p>
          <w:p>
            <w:pPr>
              <w:pStyle w:val="null3"/>
              <w:numPr>
                <w:ilvl w:val="0"/>
                <w:numId w:val="2"/>
              </w:numPr>
              <w:spacing w:before="120"/>
              <w:jc w:val="both"/>
            </w:pPr>
            <w:r>
              <w:rPr>
                <w:rFonts w:ascii="仿宋_GB2312" w:hAnsi="仿宋_GB2312" w:cs="仿宋_GB2312" w:eastAsia="仿宋_GB2312"/>
                <w:sz w:val="24"/>
                <w:color w:val="000000"/>
              </w:rPr>
              <w:t>取费</w:t>
            </w:r>
          </w:p>
          <w:p>
            <w:pPr>
              <w:pStyle w:val="null3"/>
              <w:spacing w:before="75"/>
              <w:ind w:right="30" w:firstLine="484"/>
              <w:jc w:val="both"/>
            </w:pPr>
            <w:r>
              <w:rPr>
                <w:rFonts w:ascii="仿宋_GB2312" w:hAnsi="仿宋_GB2312" w:cs="仿宋_GB2312" w:eastAsia="仿宋_GB2312"/>
                <w:sz w:val="24"/>
                <w:color w:val="000000"/>
              </w:rPr>
              <w:t>本项目全部为建筑工程，建筑工程单价=直接费+间接费+利润+价差+税金</w:t>
            </w:r>
          </w:p>
          <w:p>
            <w:pPr>
              <w:pStyle w:val="null3"/>
              <w:spacing w:before="75"/>
              <w:ind w:right="30" w:firstLine="484"/>
              <w:jc w:val="both"/>
            </w:pPr>
            <w:r>
              <w:rPr>
                <w:rFonts w:ascii="仿宋_GB2312" w:hAnsi="仿宋_GB2312" w:cs="仿宋_GB2312" w:eastAsia="仿宋_GB2312"/>
                <w:sz w:val="24"/>
                <w:color w:val="000000"/>
              </w:rPr>
              <w:t>其中：（1）直接费：直接费＝基本直接费＋其他直接费基本直接费＝人工费＋材料费＋施工机械使用费</w:t>
            </w:r>
          </w:p>
          <w:p>
            <w:pPr>
              <w:pStyle w:val="null3"/>
              <w:spacing w:before="75"/>
              <w:ind w:right="30" w:firstLine="484"/>
              <w:jc w:val="both"/>
            </w:pPr>
            <w:r>
              <w:rPr>
                <w:rFonts w:ascii="仿宋_GB2312" w:hAnsi="仿宋_GB2312" w:cs="仿宋_GB2312" w:eastAsia="仿宋_GB2312"/>
                <w:sz w:val="24"/>
                <w:color w:val="000000"/>
              </w:rPr>
              <w:t>人工费=∑（定额各类人工消耗量×本规定各类人工预算单价）</w:t>
            </w:r>
          </w:p>
          <w:p>
            <w:pPr>
              <w:pStyle w:val="null3"/>
              <w:spacing w:before="75"/>
              <w:ind w:right="30" w:firstLine="484"/>
              <w:jc w:val="both"/>
            </w:pPr>
            <w:r>
              <w:rPr>
                <w:rFonts w:ascii="仿宋_GB2312" w:hAnsi="仿宋_GB2312" w:cs="仿宋_GB2312" w:eastAsia="仿宋_GB2312"/>
                <w:sz w:val="24"/>
                <w:color w:val="000000"/>
              </w:rPr>
              <w:t>材料费=∑（定额各类材料消耗量×本规定各类主要材料价格或概算编制年其他各类材料预算价格）</w:t>
            </w:r>
          </w:p>
          <w:p>
            <w:pPr>
              <w:pStyle w:val="null3"/>
              <w:spacing w:before="75"/>
              <w:ind w:right="30" w:firstLine="484"/>
              <w:jc w:val="both"/>
            </w:pPr>
            <w:r>
              <w:rPr>
                <w:rFonts w:ascii="仿宋_GB2312" w:hAnsi="仿宋_GB2312" w:cs="仿宋_GB2312" w:eastAsia="仿宋_GB2312"/>
                <w:sz w:val="24"/>
                <w:color w:val="000000"/>
              </w:rPr>
              <w:t>施工机械使用费=∑（定额各类施工机械台班消耗量×按本规定计算得出的各类施工机械</w:t>
            </w:r>
          </w:p>
          <w:p>
            <w:pPr>
              <w:pStyle w:val="null3"/>
              <w:spacing w:before="75"/>
              <w:ind w:right="30" w:firstLine="484"/>
              <w:jc w:val="both"/>
            </w:pPr>
            <w:r>
              <w:rPr>
                <w:rFonts w:ascii="仿宋_GB2312" w:hAnsi="仿宋_GB2312" w:cs="仿宋_GB2312" w:eastAsia="仿宋_GB2312"/>
                <w:sz w:val="24"/>
                <w:color w:val="000000"/>
              </w:rPr>
              <w:t>台班费）</w:t>
            </w:r>
          </w:p>
          <w:p>
            <w:pPr>
              <w:pStyle w:val="null3"/>
              <w:spacing w:before="75"/>
              <w:ind w:right="30" w:firstLine="484"/>
              <w:jc w:val="both"/>
            </w:pPr>
            <w:r>
              <w:rPr>
                <w:rFonts w:ascii="仿宋_GB2312" w:hAnsi="仿宋_GB2312" w:cs="仿宋_GB2312" w:eastAsia="仿宋_GB2312"/>
                <w:sz w:val="24"/>
                <w:color w:val="000000"/>
              </w:rPr>
              <w:t>其他直接费＝基本直接费×其他直接费费率</w:t>
            </w:r>
          </w:p>
          <w:p>
            <w:pPr>
              <w:pStyle w:val="null3"/>
              <w:spacing w:before="75"/>
              <w:ind w:right="30" w:firstLine="484"/>
              <w:jc w:val="both"/>
            </w:pPr>
            <w:r>
              <w:rPr>
                <w:rFonts w:ascii="仿宋_GB2312" w:hAnsi="仿宋_GB2312" w:cs="仿宋_GB2312" w:eastAsia="仿宋_GB2312"/>
                <w:sz w:val="24"/>
                <w:color w:val="000000"/>
              </w:rPr>
              <w:t>（2）间接费：间接费＝直接费×间接费费率</w:t>
            </w:r>
          </w:p>
          <w:p>
            <w:pPr>
              <w:pStyle w:val="null3"/>
              <w:spacing w:before="75"/>
              <w:ind w:right="30" w:firstLine="484"/>
              <w:jc w:val="both"/>
            </w:pPr>
            <w:r>
              <w:rPr>
                <w:rFonts w:ascii="仿宋_GB2312" w:hAnsi="仿宋_GB2312" w:cs="仿宋_GB2312" w:eastAsia="仿宋_GB2312"/>
                <w:sz w:val="24"/>
                <w:color w:val="000000"/>
              </w:rPr>
              <w:t>表1本工程涉及取费项目费率表</w:t>
            </w:r>
          </w:p>
          <w:tbl>
            <w:tblPr>
              <w:tblInd w:type="dxa" w:w="720"/>
              <w:tblBorders>
                <w:top w:val="none" w:color="000000" w:sz="4"/>
                <w:left w:val="none" w:color="000000" w:sz="4"/>
                <w:bottom w:val="none" w:color="000000" w:sz="4"/>
                <w:right w:val="none" w:color="000000" w:sz="4"/>
                <w:insideH w:val="none"/>
                <w:insideV w:val="none"/>
              </w:tblBorders>
            </w:tblPr>
            <w:tblGrid>
              <w:gridCol w:w="701"/>
              <w:gridCol w:w="438"/>
              <w:gridCol w:w="438"/>
              <w:gridCol w:w="438"/>
              <w:gridCol w:w="527"/>
            </w:tblGrid>
            <w:tr>
              <w:tc>
                <w:tcPr>
                  <w:tcW w:type="dxa" w:w="70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30"/>
                    <w:jc w:val="center"/>
                  </w:pPr>
                  <w:r>
                    <w:rPr>
                      <w:rFonts w:ascii="仿宋_GB2312" w:hAnsi="仿宋_GB2312" w:cs="仿宋_GB2312" w:eastAsia="仿宋_GB2312"/>
                      <w:sz w:val="24"/>
                      <w:color w:val="000000"/>
                    </w:rPr>
                    <w:t>取费名称</w:t>
                  </w:r>
                </w:p>
              </w:tc>
              <w:tc>
                <w:tcPr>
                  <w:tcW w:type="dxa" w:w="4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30"/>
                    <w:jc w:val="center"/>
                  </w:pPr>
                  <w:r>
                    <w:rPr>
                      <w:rFonts w:ascii="仿宋_GB2312" w:hAnsi="仿宋_GB2312" w:cs="仿宋_GB2312" w:eastAsia="仿宋_GB2312"/>
                      <w:sz w:val="24"/>
                      <w:color w:val="000000"/>
                    </w:rPr>
                    <w:t>土方工程</w:t>
                  </w:r>
                </w:p>
              </w:tc>
              <w:tc>
                <w:tcPr>
                  <w:tcW w:type="dxa" w:w="4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30"/>
                    <w:jc w:val="center"/>
                  </w:pPr>
                  <w:r>
                    <w:rPr>
                      <w:rFonts w:ascii="仿宋_GB2312" w:hAnsi="仿宋_GB2312" w:cs="仿宋_GB2312" w:eastAsia="仿宋_GB2312"/>
                      <w:sz w:val="24"/>
                      <w:color w:val="000000"/>
                    </w:rPr>
                    <w:t>石方工程</w:t>
                  </w:r>
                </w:p>
              </w:tc>
              <w:tc>
                <w:tcPr>
                  <w:tcW w:type="dxa" w:w="4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30"/>
                    <w:jc w:val="center"/>
                  </w:pPr>
                  <w:r>
                    <w:rPr>
                      <w:rFonts w:ascii="仿宋_GB2312" w:hAnsi="仿宋_GB2312" w:cs="仿宋_GB2312" w:eastAsia="仿宋_GB2312"/>
                      <w:sz w:val="24"/>
                      <w:color w:val="000000"/>
                    </w:rPr>
                    <w:t>模板工程</w:t>
                  </w:r>
                </w:p>
              </w:tc>
              <w:tc>
                <w:tcPr>
                  <w:tcW w:type="dxa" w:w="5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30"/>
                    <w:jc w:val="center"/>
                  </w:pPr>
                  <w:r>
                    <w:rPr>
                      <w:rFonts w:ascii="仿宋_GB2312" w:hAnsi="仿宋_GB2312" w:cs="仿宋_GB2312" w:eastAsia="仿宋_GB2312"/>
                      <w:sz w:val="24"/>
                      <w:color w:val="000000"/>
                    </w:rPr>
                    <w:t>混凝土工程</w:t>
                  </w:r>
                </w:p>
              </w:tc>
            </w:tr>
            <w:tr>
              <w:tc>
                <w:tcPr>
                  <w:tcW w:type="dxa" w:w="7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30"/>
                    <w:jc w:val="center"/>
                  </w:pPr>
                  <w:r>
                    <w:rPr>
                      <w:rFonts w:ascii="仿宋_GB2312" w:hAnsi="仿宋_GB2312" w:cs="仿宋_GB2312" w:eastAsia="仿宋_GB2312"/>
                      <w:sz w:val="24"/>
                      <w:color w:val="000000"/>
                    </w:rPr>
                    <w:t>其他直接费费率</w:t>
                  </w:r>
                </w:p>
              </w:tc>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30"/>
                    <w:jc w:val="center"/>
                  </w:pPr>
                  <w:r>
                    <w:rPr>
                      <w:rFonts w:ascii="仿宋_GB2312" w:hAnsi="仿宋_GB2312" w:cs="仿宋_GB2312" w:eastAsia="仿宋_GB2312"/>
                      <w:sz w:val="24"/>
                      <w:color w:val="000000"/>
                    </w:rPr>
                    <w:t>4.5</w:t>
                  </w:r>
                </w:p>
              </w:tc>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30"/>
                    <w:jc w:val="center"/>
                  </w:pPr>
                  <w:r>
                    <w:rPr>
                      <w:rFonts w:ascii="仿宋_GB2312" w:hAnsi="仿宋_GB2312" w:cs="仿宋_GB2312" w:eastAsia="仿宋_GB2312"/>
                      <w:sz w:val="24"/>
                      <w:color w:val="000000"/>
                    </w:rPr>
                    <w:t>4.5</w:t>
                  </w:r>
                </w:p>
              </w:tc>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30"/>
                    <w:jc w:val="center"/>
                  </w:pPr>
                  <w:r>
                    <w:rPr>
                      <w:rFonts w:ascii="仿宋_GB2312" w:hAnsi="仿宋_GB2312" w:cs="仿宋_GB2312" w:eastAsia="仿宋_GB2312"/>
                      <w:sz w:val="24"/>
                      <w:color w:val="000000"/>
                    </w:rPr>
                    <w:t>4.5</w:t>
                  </w:r>
                </w:p>
              </w:tc>
              <w:tc>
                <w:tcPr>
                  <w:tcW w:type="dxa" w:w="5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30"/>
                    <w:jc w:val="center"/>
                  </w:pPr>
                  <w:r>
                    <w:rPr>
                      <w:rFonts w:ascii="仿宋_GB2312" w:hAnsi="仿宋_GB2312" w:cs="仿宋_GB2312" w:eastAsia="仿宋_GB2312"/>
                      <w:sz w:val="24"/>
                      <w:color w:val="000000"/>
                    </w:rPr>
                    <w:t>4.5</w:t>
                  </w:r>
                </w:p>
              </w:tc>
            </w:tr>
            <w:tr>
              <w:tc>
                <w:tcPr>
                  <w:tcW w:type="dxa" w:w="7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30"/>
                    <w:jc w:val="center"/>
                  </w:pPr>
                  <w:r>
                    <w:rPr>
                      <w:rFonts w:ascii="仿宋_GB2312" w:hAnsi="仿宋_GB2312" w:cs="仿宋_GB2312" w:eastAsia="仿宋_GB2312"/>
                      <w:sz w:val="24"/>
                      <w:color w:val="000000"/>
                    </w:rPr>
                    <w:t>间接费费率</w:t>
                  </w:r>
                </w:p>
              </w:tc>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30"/>
                    <w:jc w:val="center"/>
                  </w:pPr>
                  <w:r>
                    <w:rPr>
                      <w:rFonts w:ascii="仿宋_GB2312" w:hAnsi="仿宋_GB2312" w:cs="仿宋_GB2312" w:eastAsia="仿宋_GB2312"/>
                      <w:sz w:val="24"/>
                      <w:color w:val="000000"/>
                    </w:rPr>
                    <w:t>4</w:t>
                  </w:r>
                </w:p>
              </w:tc>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30"/>
                    <w:jc w:val="center"/>
                  </w:pPr>
                  <w:r>
                    <w:rPr>
                      <w:rFonts w:ascii="仿宋_GB2312" w:hAnsi="仿宋_GB2312" w:cs="仿宋_GB2312" w:eastAsia="仿宋_GB2312"/>
                      <w:sz w:val="24"/>
                      <w:color w:val="000000"/>
                    </w:rPr>
                    <w:t>6</w:t>
                  </w:r>
                </w:p>
              </w:tc>
              <w:tc>
                <w:tcPr>
                  <w:tcW w:type="dxa" w:w="4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30"/>
                    <w:jc w:val="center"/>
                  </w:pPr>
                  <w:r>
                    <w:rPr>
                      <w:rFonts w:ascii="仿宋_GB2312" w:hAnsi="仿宋_GB2312" w:cs="仿宋_GB2312" w:eastAsia="仿宋_GB2312"/>
                      <w:sz w:val="24"/>
                      <w:color w:val="000000"/>
                    </w:rPr>
                    <w:t>5</w:t>
                  </w:r>
                </w:p>
              </w:tc>
              <w:tc>
                <w:tcPr>
                  <w:tcW w:type="dxa" w:w="5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30"/>
                    <w:jc w:val="center"/>
                  </w:pPr>
                  <w:r>
                    <w:rPr>
                      <w:rFonts w:ascii="仿宋_GB2312" w:hAnsi="仿宋_GB2312" w:cs="仿宋_GB2312" w:eastAsia="仿宋_GB2312"/>
                      <w:sz w:val="24"/>
                      <w:color w:val="000000"/>
                    </w:rPr>
                    <w:t>6</w:t>
                  </w:r>
                </w:p>
              </w:tc>
            </w:tr>
          </w:tbl>
          <w:p>
            <w:pPr>
              <w:pStyle w:val="null3"/>
              <w:spacing w:before="75"/>
              <w:ind w:right="30" w:firstLine="484"/>
              <w:jc w:val="both"/>
            </w:pPr>
            <w:r>
              <w:rPr>
                <w:rFonts w:ascii="仿宋_GB2312" w:hAnsi="仿宋_GB2312" w:cs="仿宋_GB2312" w:eastAsia="仿宋_GB2312"/>
                <w:sz w:val="24"/>
                <w:color w:val="000000"/>
              </w:rPr>
              <w:t>（3）利润：利润=（直接费＋间接费）×利润率</w:t>
            </w:r>
          </w:p>
          <w:p>
            <w:pPr>
              <w:pStyle w:val="null3"/>
              <w:spacing w:before="75"/>
              <w:ind w:right="30" w:firstLine="484"/>
              <w:jc w:val="both"/>
            </w:pPr>
            <w:r>
              <w:rPr>
                <w:rFonts w:ascii="仿宋_GB2312" w:hAnsi="仿宋_GB2312" w:cs="仿宋_GB2312" w:eastAsia="仿宋_GB2312"/>
                <w:sz w:val="24"/>
                <w:color w:val="000000"/>
              </w:rPr>
              <w:t>（4）价差：价差＝人工价差＋材料价差</w:t>
            </w:r>
          </w:p>
          <w:p>
            <w:pPr>
              <w:pStyle w:val="null3"/>
              <w:spacing w:before="75"/>
              <w:ind w:right="30" w:firstLine="484"/>
              <w:jc w:val="both"/>
            </w:pPr>
            <w:r>
              <w:rPr>
                <w:rFonts w:ascii="仿宋_GB2312" w:hAnsi="仿宋_GB2312" w:cs="仿宋_GB2312" w:eastAsia="仿宋_GB2312"/>
                <w:sz w:val="24"/>
                <w:color w:val="000000"/>
              </w:rPr>
              <w:t>人工价差=∑〔定额各类人工消耗量×（概算编制年各类人工预算执行单价-本规定各类人工预算单价）〕</w:t>
            </w:r>
          </w:p>
          <w:p>
            <w:pPr>
              <w:pStyle w:val="null3"/>
              <w:spacing w:before="75"/>
              <w:ind w:right="30" w:firstLine="484"/>
              <w:jc w:val="both"/>
            </w:pPr>
            <w:r>
              <w:rPr>
                <w:rFonts w:ascii="仿宋_GB2312" w:hAnsi="仿宋_GB2312" w:cs="仿宋_GB2312" w:eastAsia="仿宋_GB2312"/>
                <w:sz w:val="24"/>
                <w:color w:val="000000"/>
              </w:rPr>
              <w:t>材料价差=∑〔定额各类主要材料消耗量×（概算编制年各类主要材料预算价格</w:t>
            </w:r>
            <w:r>
              <w:rPr>
                <w:rFonts w:ascii="仿宋_GB2312" w:hAnsi="仿宋_GB2312" w:cs="仿宋_GB2312" w:eastAsia="仿宋_GB2312"/>
                <w:sz w:val="24"/>
                <w:color w:val="000000"/>
              </w:rPr>
              <w:t>-</w:t>
            </w:r>
            <w:r>
              <w:rPr>
                <w:rFonts w:ascii="仿宋_GB2312" w:hAnsi="仿宋_GB2312" w:cs="仿宋_GB2312" w:eastAsia="仿宋_GB2312"/>
                <w:sz w:val="24"/>
                <w:color w:val="000000"/>
              </w:rPr>
              <w:t>本规定各类主要材料价格）〕</w:t>
            </w:r>
          </w:p>
          <w:p>
            <w:pPr>
              <w:pStyle w:val="null3"/>
              <w:spacing w:before="75"/>
              <w:ind w:right="30" w:firstLine="484"/>
              <w:jc w:val="both"/>
            </w:pPr>
            <w:r>
              <w:rPr>
                <w:rFonts w:ascii="仿宋_GB2312" w:hAnsi="仿宋_GB2312" w:cs="仿宋_GB2312" w:eastAsia="仿宋_GB2312"/>
                <w:sz w:val="24"/>
                <w:color w:val="000000"/>
              </w:rPr>
              <w:t>（5）税金：税金＝（直接费＋间接费＋利润＋价差）×建筑业增值税销项税率，依据《关于重新调整建设工程计价依据增值税税率的通知》(建办标函[2019]193号），增值税销项税率取值9%。</w:t>
            </w:r>
          </w:p>
          <w:p>
            <w:pPr>
              <w:pStyle w:val="null3"/>
              <w:numPr>
                <w:ilvl w:val="0"/>
                <w:numId w:val="1"/>
              </w:numPr>
              <w:spacing w:before="150"/>
              <w:jc w:val="left"/>
            </w:pPr>
            <w:r>
              <w:rPr>
                <w:rFonts w:ascii="仿宋_GB2312" w:hAnsi="仿宋_GB2312" w:cs="仿宋_GB2312" w:eastAsia="仿宋_GB2312"/>
                <w:sz w:val="30"/>
                <w:b/>
                <w:color w:val="000000"/>
              </w:rPr>
              <w:t>其他说明</w:t>
            </w:r>
          </w:p>
          <w:p>
            <w:pPr>
              <w:pStyle w:val="null3"/>
              <w:numPr>
                <w:ilvl w:val="0"/>
                <w:numId w:val="2"/>
              </w:numPr>
              <w:spacing w:before="75"/>
              <w:ind w:right="30"/>
              <w:jc w:val="both"/>
            </w:pPr>
            <w:r>
              <w:rPr>
                <w:rFonts w:ascii="仿宋_GB2312" w:hAnsi="仿宋_GB2312" w:cs="仿宋_GB2312" w:eastAsia="仿宋_GB2312"/>
                <w:sz w:val="24"/>
                <w:color w:val="000000"/>
              </w:rPr>
              <w:t>其他临时工程费：</w:t>
            </w:r>
            <w:r>
              <w:rPr>
                <w:rFonts w:ascii="仿宋_GB2312" w:hAnsi="仿宋_GB2312" w:cs="仿宋_GB2312" w:eastAsia="仿宋_GB2312"/>
                <w:sz w:val="24"/>
                <w:color w:val="000000"/>
              </w:rPr>
              <w:t>不计列。</w:t>
            </w:r>
          </w:p>
          <w:p>
            <w:pPr>
              <w:pStyle w:val="null3"/>
              <w:numPr>
                <w:ilvl w:val="0"/>
                <w:numId w:val="2"/>
              </w:numPr>
              <w:spacing w:before="75"/>
              <w:ind w:right="30"/>
              <w:jc w:val="both"/>
            </w:pPr>
            <w:r>
              <w:rPr>
                <w:rFonts w:ascii="仿宋_GB2312" w:hAnsi="仿宋_GB2312" w:cs="仿宋_GB2312" w:eastAsia="仿宋_GB2312"/>
                <w:sz w:val="24"/>
                <w:color w:val="000000"/>
              </w:rPr>
              <w:t>暂列金：不计列。</w:t>
            </w:r>
          </w:p>
          <w:p>
            <w:pPr>
              <w:pStyle w:val="null3"/>
              <w:numPr>
                <w:ilvl w:val="0"/>
                <w:numId w:val="2"/>
              </w:numPr>
              <w:spacing w:before="75"/>
              <w:ind w:right="30"/>
              <w:jc w:val="both"/>
            </w:pPr>
            <w:r>
              <w:rPr>
                <w:rFonts w:ascii="仿宋_GB2312" w:hAnsi="仿宋_GB2312" w:cs="仿宋_GB2312" w:eastAsia="仿宋_GB2312"/>
                <w:sz w:val="24"/>
                <w:color w:val="000000"/>
              </w:rPr>
              <w:t>工程量清单：另附</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达到现行“合格”标准，符合国家、行业、地方规定以及磋商文件规定的质量和安全标准要求。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90个日历日。2.付款条件(进度和方式):(1)合同签订后，甲方应在乙方完成施工准备取得开工令进场施工后拨付工程款的40%。(2)乙方在申请工程款支付时，除提交进度统计报表外，还应填报“工程价款结算单”一式四份(格式由监理工程师提供)，经监理签字、甲方驻工地代表确认后，报甲方进行审批。(3)交工结算时，待省市组织专家终验通过后预留工程款的3%，作为工程质量保证金，质量保证金的退还以本合同第十二条缺陷责任期及责任的相关条款执行。(4)乙方应保证其雇员及农民工的工资足额按时发放，不得以任何理由拖欠，否则，甲方则在支付时扣留。</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人在领取成交通知书前，须向采购代理机构提供一正两副纸质响应文件及电子版1份（签字盖章扫描PDF和word文档格式，U盘存储），地址：西安市经济技术开发区凤城四路世融国际中心22层2205室。且提供的响应文件必须与在陕西省政府采购综合管理平台的项目电子化交易系统中递交的电子投标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其他应说明的事项.docx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供应商资格证明文件.docx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财务审计报告（包括经第三方审计机构出具的审计报告，包含资产负债表、利润表、现金流量表和财务报表附注，成立时间至提交磋商响应文件截止时间不足一年的可提供成立后任意时段的资产负债表），或其开标前六个月内基本存款账户开户银行出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提供2024年8月至今已缴纳的至少一个月的纳税证明或完税证明（除印花税以外的税种），依法免税的单位应提供相关证明材料。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项目管理、监理、检测等服务的供应商，不得再参加本项目的其他采购活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信誉查询</w:t>
            </w:r>
          </w:p>
        </w:tc>
        <w:tc>
          <w:tcPr>
            <w:tcW w:type="dxa" w:w="3322"/>
          </w:tcPr>
          <w:p>
            <w:pPr>
              <w:pStyle w:val="null3"/>
            </w:pPr>
            <w:r>
              <w:rPr>
                <w:rFonts w:ascii="仿宋_GB2312" w:hAnsi="仿宋_GB2312" w:cs="仿宋_GB2312" w:eastAsia="仿宋_GB2312"/>
              </w:rPr>
              <w:t>供应商不得为中国执行信息公开网（http://zxgk.court.gov.cn/shixin）中被列入失信的企业；不得为“信用中国”网站（www.creditchina.gov.cn）中列入“重大税收违法失信主体”当事人名单的供应商。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供应商应具备地质灾害治理工程乙级及以上（含乙级）资质，具备有效的安全生产许可证。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须具备建筑工程专业或市政公用工程专业或水利水电工程专业二级及以上（含二级）注册建造师证书和具有安全考核合格B证，或具有相关专业（水文地质、工程地质、岩土工程等）高级及以上职称，且未担任其他在建工程项目（提供无在建承诺书），无不良记录。</w:t>
            </w:r>
          </w:p>
        </w:tc>
        <w:tc>
          <w:tcPr>
            <w:tcW w:type="dxa" w:w="1661"/>
          </w:tcPr>
          <w:p>
            <w:pPr>
              <w:pStyle w:val="null3"/>
            </w:pPr>
            <w:r>
              <w:rPr>
                <w:rFonts w:ascii="仿宋_GB2312" w:hAnsi="仿宋_GB2312" w:cs="仿宋_GB2312" w:eastAsia="仿宋_GB2312"/>
              </w:rPr>
              <w:t>项目管理机构组成表 供应商资格证明文件.docx 主要人员简历表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法定代表人授权书（附法定代表人身份证复印件）及被授权人身份证（法定代表人直接参加投标须提供法定代表人证明书及身份证原件）。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本项目专门面向中小企业采购，供应商须为中小微企业，并提供声明函。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施工组织方案.docx 项目管理机构组成表 其他应说明的事项.docx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施工组织方案.docx 项目管理机构组成表 其他应说明的事项.docx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施工组织方案.docx 项目管理机构组成表 其他应说明的事项.docx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磋商报价不超过最高限价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已标价清单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响应文件封面 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一、评审内容： 供应商针对本项目制定的施工方案与技术措施包含：①对项目总体概况表述②施工部署及措施③对项目主要及关键方案的表述④施工平面布置。 二、评审标准： 1.完整性：方案全面，对评审内容中的各项要求有详细阐述； 2.可实施性：切合本项目实际情况，提出步骤清晰、合理的方案； 3.针对性：方案能够紧扣项目实际情况，内容科学合理。 上述四项评审内容全部满足评审标准得12分，每有一个评审内容缺项扣3分，每一项评审内容中每出现一处缺陷扣1分，扣完为止。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其他应说明的事项.docx</w:t>
            </w:r>
          </w:p>
          <w:p>
            <w:pPr>
              <w:pStyle w:val="null3"/>
            </w:pPr>
            <w:r>
              <w:rPr>
                <w:rFonts w:ascii="仿宋_GB2312" w:hAnsi="仿宋_GB2312" w:cs="仿宋_GB2312" w:eastAsia="仿宋_GB2312"/>
              </w:rPr>
              <w:t>施工组织方案.docx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一、评审内容： 供应商针对本项目制定的质量管理体系与措施包含：①质量管理目标②管理机构职责分工③质量管理制度④质量保证措施。 二、评审标准： 1.完整性：方案全面，对评审内容中的各项要求有详细阐述； 2.可实施性：切合本项目实际情况，提出步骤清晰、合理的方案； 3.针对性：方案能够紧扣项目实际情况，内容科学合理。 上述四项评审内容全部满足评审标准得12分，每有一个评审内容缺项扣3分，每一项评审内容中每出现一处缺陷扣1分，扣完为止。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其他应说明的事项.docx</w:t>
            </w:r>
          </w:p>
          <w:p>
            <w:pPr>
              <w:pStyle w:val="null3"/>
            </w:pPr>
            <w:r>
              <w:rPr>
                <w:rFonts w:ascii="仿宋_GB2312" w:hAnsi="仿宋_GB2312" w:cs="仿宋_GB2312" w:eastAsia="仿宋_GB2312"/>
              </w:rPr>
              <w:t>施工组织方案.docx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一、评审内容： 供应商针对本项目制定的安全管理体系与措施包含：①安全管理目标②安全管理机构职责分工③安全管理制度④安全保证措施。 二、评审标准： 1.完整性：方案全面，对评审内容中的各项要求有详细阐述； 2.可实施性：切合本项目实际情况，提出步骤清晰、合理的方案； 3.针对性：方案能够紧扣项目实际情况，内容科学合理。 上述四项评审内容全部满足评审标准得8分，每有一个评审内容缺项扣2分，每一项评审内容中每出现一处缺陷扣1分，扣完为止。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其他应说明的事项.docx</w:t>
            </w:r>
          </w:p>
          <w:p>
            <w:pPr>
              <w:pStyle w:val="null3"/>
            </w:pPr>
            <w:r>
              <w:rPr>
                <w:rFonts w:ascii="仿宋_GB2312" w:hAnsi="仿宋_GB2312" w:cs="仿宋_GB2312" w:eastAsia="仿宋_GB2312"/>
              </w:rPr>
              <w:t>施工组织方案.docx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一、评审内容 供应商针对本项目制定的环境保护管理体系与措施包含：①环境保护管理目标②环境保护管理机构职责分工③环境保护管理制度④环境保护保证措施。 二、评审标准： 1.完整性：方案全面，对评审内容中的各项要求有详细阐述； 2.可实施性：切合本项目实际情况，提出步骤清晰、合理的方案； 3.针对性：方案能够紧扣项目实际情况，内容科学合理。 上述四项评审内容全部满足评审标准得8分，每有一个评审内容缺项扣2分，每一项评审内容中每出现一处缺陷扣1分，扣完为止。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其他应说明的事项.docx</w:t>
            </w:r>
          </w:p>
          <w:p>
            <w:pPr>
              <w:pStyle w:val="null3"/>
            </w:pPr>
            <w:r>
              <w:rPr>
                <w:rFonts w:ascii="仿宋_GB2312" w:hAnsi="仿宋_GB2312" w:cs="仿宋_GB2312" w:eastAsia="仿宋_GB2312"/>
              </w:rPr>
              <w:t>施工组织方案.docx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工程进度计划与保证措施</w:t>
            </w:r>
          </w:p>
        </w:tc>
        <w:tc>
          <w:tcPr>
            <w:tcW w:type="dxa" w:w="2492"/>
          </w:tcPr>
          <w:p>
            <w:pPr>
              <w:pStyle w:val="null3"/>
            </w:pPr>
            <w:r>
              <w:rPr>
                <w:rFonts w:ascii="仿宋_GB2312" w:hAnsi="仿宋_GB2312" w:cs="仿宋_GB2312" w:eastAsia="仿宋_GB2312"/>
              </w:rPr>
              <w:t>一、评审内容： 供应商针对本项目制定的工程进度计划与保证措施包含：①总工期及节点工期安排②施工进度计划安排③进度保证措施。 二、评审标准： 1.完整性：方案全面，对评审内容中的各项要求有详细阐述； 2.可实施性：切合本项目实际情况，提出步骤清晰、合理的方案； 3.针对性：方案能够紧扣项目实际情况，内容科学合理。 上述三项评审内容全部满足评审标准得6分，每有一个评审内容缺项扣2分，每一项评审内容中每出现一处缺陷扣1分，扣完为止。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其他应说明的事项.docx</w:t>
            </w:r>
          </w:p>
          <w:p>
            <w:pPr>
              <w:pStyle w:val="null3"/>
            </w:pPr>
            <w:r>
              <w:rPr>
                <w:rFonts w:ascii="仿宋_GB2312" w:hAnsi="仿宋_GB2312" w:cs="仿宋_GB2312" w:eastAsia="仿宋_GB2312"/>
              </w:rPr>
              <w:t>施工组织方案.docx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一、评审内容： 供应商针对本项目制定资源配备计划包含：①劳动力计划②主要材料供应计划③施工机械设备配备计划④资源调配计划。 二、评审标准： 1.完整性：方案全面，对评审内容中的各项要求有详细阐述； 2.可实施性：切合本项目实际情况，提出步骤清晰、合理的方案； 3.针对性：方案能够紧扣项目实际情况，内容科学合理。 上述四项评审内容全部满足评审标准得8分，每有一个评审内容缺项扣2分，每一项评审内容中每出现一处缺陷扣1分，扣完为止。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其他应说明的事项.docx</w:t>
            </w:r>
          </w:p>
          <w:p>
            <w:pPr>
              <w:pStyle w:val="null3"/>
            </w:pPr>
            <w:r>
              <w:rPr>
                <w:rFonts w:ascii="仿宋_GB2312" w:hAnsi="仿宋_GB2312" w:cs="仿宋_GB2312" w:eastAsia="仿宋_GB2312"/>
              </w:rPr>
              <w:t>施工组织方案.docx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根据供应商针对本项目制定的合理化建议 二、评审标准： 1.完整性：方案全面，对评审内容中的各项要求有详细阐述； 2.可实施性：切合本项目实际情况，提出步骤清晰、合理的方案； 3.针对性：方案能够紧扣项目实际情况，内容科学合理。 上述评审内容全部满足评审标准得2分，评审内容缺项扣2分，评审内容中出现一处缺陷扣1分，扣完为止。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其他应说明的事项.docx</w:t>
            </w:r>
          </w:p>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供应商对本项目提供的服务承诺包含：①施工过程中的相关承诺②投入材料质量承诺③质量保修期服务承诺④服务响应时间⑤服务响应措施。 二、评审标准： 1.完整性：方案全面，对评审内容有详细阐述； 2.可实施性：切合本项目实际情况，提出步骤清晰、合理的方案； 3.针对性：方案能够紧扣项目实际情况，内容科学合理。 上述五项评审内容全部满足评审标准得10分，每有一个评审内容缺项扣2分，评审内容中每出现一处缺陷扣1分，扣完为止。 三、备注： 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其他应说明的事项.docx</w:t>
            </w:r>
          </w:p>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提供2022年8月1日至今供应商类似项目的业绩合同（以合同签订日期为准），附业绩合同复印件、竣工报告或竣工验收单加盖公章，每份1分，满分4分。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 供应商的价格为磋商基准价，其价格分为满分。其他供应商的价格分 统一按照下列公式计算： 磋商报价得分=（磋商基准价/最后磋商报价 ）×30 注：磋商基准价即实质性响应竞争性磋商文件要求的供应商的 最低磋商报价。大于最高限价的磋 商报价在评审过程中报价按无效磋商处理。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详见附件：其他应说明的事项.docx</w:t>
      </w:r>
    </w:p>
    <w:p>
      <w:pPr>
        <w:pStyle w:val="null3"/>
        <w:ind w:firstLine="960"/>
      </w:pPr>
      <w:r>
        <w:rPr>
          <w:rFonts w:ascii="仿宋_GB2312" w:hAnsi="仿宋_GB2312" w:cs="仿宋_GB2312" w:eastAsia="仿宋_GB2312"/>
        </w:rPr>
        <w:t>详见附件：施工组织方案.docx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