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版本号：ZBZB-2026-281120260123001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白水县政府办公务用车更新项目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ZBZB-2026-2811</w:t>
      </w:r>
      <w:r>
        <w:br/>
      </w:r>
      <w:r>
        <w:br/>
      </w:r>
      <w:r>
        <w:br/>
      </w:r>
    </w:p>
    <w:p>
      <w:pPr>
        <w:pStyle w:val="null3"/>
        <w:jc w:val="center"/>
        <w:outlineLvl w:val="2"/>
      </w:pPr>
      <w:r>
        <w:rPr>
          <w:rFonts w:ascii="仿宋_GB2312" w:hAnsi="仿宋_GB2312" w:cs="仿宋_GB2312" w:eastAsia="仿宋_GB2312"/>
          <w:sz w:val="28"/>
          <w:b/>
        </w:rPr>
        <w:t>白水县人民政府办公室</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白水县人民政府办公室</w:t>
      </w:r>
      <w:r>
        <w:rPr>
          <w:rFonts w:ascii="仿宋_GB2312" w:hAnsi="仿宋_GB2312" w:cs="仿宋_GB2312" w:eastAsia="仿宋_GB2312"/>
        </w:rPr>
        <w:t>委托，拟对</w:t>
      </w:r>
      <w:r>
        <w:rPr>
          <w:rFonts w:ascii="仿宋_GB2312" w:hAnsi="仿宋_GB2312" w:cs="仿宋_GB2312" w:eastAsia="仿宋_GB2312"/>
        </w:rPr>
        <w:t>白水县政府办公务用车更新项目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ZBZB-2026-2811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白水县政府办公务用车更新项目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白水县政府办公务用车更新项目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并进行电子签章。</w:t>
      </w:r>
    </w:p>
    <w:p>
      <w:pPr>
        <w:pStyle w:val="null3"/>
      </w:pPr>
      <w:r>
        <w:rPr>
          <w:rFonts w:ascii="仿宋_GB2312" w:hAnsi="仿宋_GB2312" w:cs="仿宋_GB2312" w:eastAsia="仿宋_GB2312"/>
        </w:rPr>
        <w:t>2、授权书：法定代表人授权书（附法定代表人身份证复印件）及被授权人身份证复印件（法定代表人直接参加招标只需提供法定代表人身份证复印件加盖公章）。并进行电子签章。</w:t>
      </w:r>
    </w:p>
    <w:p>
      <w:pPr>
        <w:pStyle w:val="null3"/>
      </w:pPr>
      <w:r>
        <w:rPr>
          <w:rFonts w:ascii="仿宋_GB2312" w:hAnsi="仿宋_GB2312" w:cs="仿宋_GB2312" w:eastAsia="仿宋_GB2312"/>
        </w:rPr>
        <w:t>3、财务状况报告：提供2023年度或2024年度经审计的完整的财务审计报告(成立时间至提交投标文件截止时间不足一年的可提供成立后任意时段的资产负债表)，或开标前半年内其基本存款账户开户银行出具的资信证明。并进行电子签章。</w:t>
      </w:r>
    </w:p>
    <w:p>
      <w:pPr>
        <w:pStyle w:val="null3"/>
      </w:pPr>
      <w:r>
        <w:rPr>
          <w:rFonts w:ascii="仿宋_GB2312" w:hAnsi="仿宋_GB2312" w:cs="仿宋_GB2312" w:eastAsia="仿宋_GB2312"/>
        </w:rPr>
        <w:t>4、完税证明：提供2025年1月至今已缴纳的至少三个月的纳税证明或完税证明，依法免税的单位应提供相关证明材料。并进行电子签章。</w:t>
      </w:r>
    </w:p>
    <w:p>
      <w:pPr>
        <w:pStyle w:val="null3"/>
      </w:pPr>
      <w:r>
        <w:rPr>
          <w:rFonts w:ascii="仿宋_GB2312" w:hAnsi="仿宋_GB2312" w:cs="仿宋_GB2312" w:eastAsia="仿宋_GB2312"/>
        </w:rPr>
        <w:t>5、社保缴纳情况：提供2025年1月至今已缴存的至少三个月的社会保障资金缴存单据或社保机构开具的社会保险参保缴费情况证明，依法不需要缴纳社会保障资金的单位应提供相关证明材料。并进行电子签章。</w:t>
      </w:r>
    </w:p>
    <w:p>
      <w:pPr>
        <w:pStyle w:val="null3"/>
      </w:pPr>
      <w:r>
        <w:rPr>
          <w:rFonts w:ascii="仿宋_GB2312" w:hAnsi="仿宋_GB2312" w:cs="仿宋_GB2312" w:eastAsia="仿宋_GB2312"/>
        </w:rPr>
        <w:t>6、所必需的设备和专业技术能力的说明及承诺书：提供具有履行本合同所必需的设备和专业技术能力的说明及承诺书。并进行电子签章。</w:t>
      </w:r>
    </w:p>
    <w:p>
      <w:pPr>
        <w:pStyle w:val="null3"/>
      </w:pPr>
      <w:r>
        <w:rPr>
          <w:rFonts w:ascii="仿宋_GB2312" w:hAnsi="仿宋_GB2312" w:cs="仿宋_GB2312" w:eastAsia="仿宋_GB2312"/>
        </w:rPr>
        <w:t>7、无重大违法记录声明：参加本次采购活动前三年内，在政府采购活动中没有重大违法记录声明。并进行电子签章。</w:t>
      </w:r>
    </w:p>
    <w:p>
      <w:pPr>
        <w:pStyle w:val="null3"/>
      </w:pPr>
      <w:r>
        <w:rPr>
          <w:rFonts w:ascii="仿宋_GB2312" w:hAnsi="仿宋_GB2312" w:cs="仿宋_GB2312" w:eastAsia="仿宋_GB2312"/>
        </w:rPr>
        <w:t>8、信用查询：供应商未被信用中国网站列入失信被执行人和重大税收违法案件名单；未被列入“中国政府采购网”政府采购严重违法失信行为记录名单。并进行电子签章。</w:t>
      </w:r>
    </w:p>
    <w:p>
      <w:pPr>
        <w:pStyle w:val="null3"/>
      </w:pPr>
      <w:r>
        <w:rPr>
          <w:rFonts w:ascii="仿宋_GB2312" w:hAnsi="仿宋_GB2312" w:cs="仿宋_GB2312" w:eastAsia="仿宋_GB2312"/>
        </w:rPr>
        <w:t>9、投标担保：须提供投标保证金交纳凭证（银行汇（存）款回执单）或投标担保函，复印件须加盖投标人公章。并进行电子签章。</w:t>
      </w:r>
    </w:p>
    <w:p>
      <w:pPr>
        <w:pStyle w:val="null3"/>
      </w:pPr>
      <w:r>
        <w:rPr>
          <w:rFonts w:ascii="仿宋_GB2312" w:hAnsi="仿宋_GB2312" w:cs="仿宋_GB2312" w:eastAsia="仿宋_GB2312"/>
        </w:rPr>
        <w:t>10、控股关系：单位负责人为同一人或者存在直接控股、管理关系的不同单位，不得参加同一合同项下的政府采购活动。并进行电子签章。</w:t>
      </w:r>
    </w:p>
    <w:p>
      <w:pPr>
        <w:pStyle w:val="null3"/>
      </w:pPr>
      <w:r>
        <w:rPr>
          <w:rFonts w:ascii="仿宋_GB2312" w:hAnsi="仿宋_GB2312" w:cs="仿宋_GB2312" w:eastAsia="仿宋_GB2312"/>
        </w:rPr>
        <w:t>11、不接受联合体投标：本项目不接受联合体投标。并进行电子签章。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陕西省渭南市白水县新兴街009号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0913-6155300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采购包1：709,600.00元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开户银行：平安银行股西安分行营业部/平安银行西安分行</w:t>
            </w:r>
          </w:p>
          <w:p>
            <w:pPr>
              <w:pStyle w:val="null3"/>
            </w:pPr>
            <w:r>
              <w:rPr>
                <w:rFonts w:ascii="仿宋_GB2312" w:hAnsi="仿宋_GB2312" w:cs="仿宋_GB2312" w:eastAsia="仿宋_GB2312"/>
              </w:rPr>
              <w:t>银行账号：30205380002023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按国家发展和改革委员发改价格【2011】534号文规定收费标准由中标单位在领取成交通知书前，向陕西正邦招标有限责任公司支付。如本项目服务费不足伍仟元则中标单位按伍仟元支付服务费。成交单位的代理服务费交纳信息 名称：陕西正邦招标有限责任公司 开户行：平安银行股西安分行营业部/平安银行西安分行 账号：30205380002023 联系电话：029-85578186； 备注：请注明费用信息“ZBZB-2026-2811招标服务费”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白水县人民政府办公室</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白水县人民政府办公室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联系电话：029-85578186-831</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白水县政府办公务用车更新项目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709,600.00</w:t>
      </w:r>
    </w:p>
    <w:p>
      <w:pPr>
        <w:pStyle w:val="null3"/>
      </w:pPr>
      <w:r>
        <w:rPr>
          <w:rFonts w:ascii="仿宋_GB2312" w:hAnsi="仿宋_GB2312" w:cs="仿宋_GB2312" w:eastAsia="仿宋_GB2312"/>
        </w:rPr>
        <w:t>采购包最高限价（元）: 709,600.00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 白水县政府办公务用车更新项目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709,600.00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白水县政府办公务用车更新项目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1、采购数量：4辆</w:t>
            </w:r>
          </w:p>
          <w:p>
            <w:pPr>
              <w:pStyle w:val="null3"/>
              <w:jc w:val="left"/>
            </w:pPr>
            <w:r>
              <w:rPr>
                <w:rFonts w:ascii="仿宋_GB2312" w:hAnsi="仿宋_GB2312" w:cs="仿宋_GB2312" w:eastAsia="仿宋_GB2312"/>
                <w:sz w:val="20"/>
              </w:rPr>
              <w:t>2、技术参数与性能指标</w:t>
            </w:r>
          </w:p>
          <w:tbl>
            <w:tblPr>
              <w:tblInd w:type="dxa" w:w="12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1.能源类型</w:t>
                  </w:r>
                </w:p>
              </w:tc>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插电式混合动力</w:t>
                  </w:r>
                  <w:r>
                    <w:rPr>
                      <w:rFonts w:ascii="仿宋_GB2312" w:hAnsi="仿宋_GB2312" w:cs="仿宋_GB2312" w:eastAsia="仿宋_GB2312"/>
                      <w:sz w:val="20"/>
                    </w:rPr>
                    <w:t>(绿牌)</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2.发动机排量</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≥1.5T</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3.续航里程（纯电/综合）</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200≤纯电续航≤300KM</w:t>
                  </w:r>
                </w:p>
                <w:p>
                  <w:pPr>
                    <w:pStyle w:val="null3"/>
                    <w:jc w:val="center"/>
                  </w:pPr>
                  <w:r>
                    <w:rPr>
                      <w:rFonts w:ascii="仿宋_GB2312" w:hAnsi="仿宋_GB2312" w:cs="仿宋_GB2312" w:eastAsia="仿宋_GB2312"/>
                      <w:sz w:val="20"/>
                    </w:rPr>
                    <w:t>1500KM≤综合续航</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rFonts w:ascii="仿宋_GB2312" w:hAnsi="仿宋_GB2312" w:cs="仿宋_GB2312" w:eastAsia="仿宋_GB2312"/>
                      <w:sz w:val="20"/>
                    </w:rPr>
                    <w:t>4.车辆尺寸</w:t>
                  </w:r>
                </w:p>
                <w:p>
                  <w:pPr>
                    <w:pStyle w:val="null3"/>
                    <w:ind w:left="210"/>
                    <w:jc w:val="center"/>
                  </w:pPr>
                  <w:r>
                    <w:rPr>
                      <w:rFonts w:ascii="仿宋_GB2312" w:hAnsi="仿宋_GB2312" w:cs="仿宋_GB2312" w:eastAsia="仿宋_GB2312"/>
                      <w:sz w:val="20"/>
                    </w:rPr>
                    <w:t>（长</w:t>
                  </w:r>
                  <w:r>
                    <w:rPr>
                      <w:rFonts w:ascii="仿宋_GB2312" w:hAnsi="仿宋_GB2312" w:cs="仿宋_GB2312" w:eastAsia="仿宋_GB2312"/>
                      <w:sz w:val="20"/>
                    </w:rPr>
                    <w:t>×宽×高（mm） ）</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5000≤长≤5200</w:t>
                  </w:r>
                </w:p>
                <w:p>
                  <w:pPr>
                    <w:pStyle w:val="null3"/>
                    <w:jc w:val="center"/>
                  </w:pPr>
                  <w:r>
                    <w:rPr>
                      <w:rFonts w:ascii="仿宋_GB2312" w:hAnsi="仿宋_GB2312" w:cs="仿宋_GB2312" w:eastAsia="仿宋_GB2312"/>
                      <w:sz w:val="20"/>
                    </w:rPr>
                    <w:t>1900≤宽≤2000</w:t>
                  </w:r>
                </w:p>
                <w:p>
                  <w:pPr>
                    <w:pStyle w:val="null3"/>
                    <w:jc w:val="center"/>
                  </w:pPr>
                  <w:r>
                    <w:rPr>
                      <w:rFonts w:ascii="仿宋_GB2312" w:hAnsi="仿宋_GB2312" w:cs="仿宋_GB2312" w:eastAsia="仿宋_GB2312"/>
                      <w:sz w:val="20"/>
                    </w:rPr>
                    <w:t>1400≤高≤1500</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5.轴距（mm）</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2900≤轴距≤3000</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6.外观颜色</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黑色</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7.排放等级要求</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w:t>
                  </w:r>
                  <w:r>
                    <w:rPr>
                      <w:rFonts w:ascii="仿宋_GB2312" w:hAnsi="仿宋_GB2312" w:cs="仿宋_GB2312" w:eastAsia="仿宋_GB2312"/>
                      <w:sz w:val="20"/>
                    </w:rPr>
                    <w:t>Ⅵb</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8.安全气囊数</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≥8个</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9.是否支持快充</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支持</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10.整车质保年限</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≥8年</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11.电池质保</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终身质保</w:t>
                  </w:r>
                </w:p>
              </w:tc>
            </w:tr>
          </w:tbl>
          <w:p>
            <w:pPr>
              <w:pStyle w:val="null3"/>
            </w:pPr>
            <w:r>
              <w:rPr>
                <w:rFonts w:ascii="仿宋_GB2312" w:hAnsi="仿宋_GB2312" w:cs="仿宋_GB2312" w:eastAsia="仿宋_GB2312"/>
                <w:sz w:val="20"/>
              </w:rPr>
              <w:t>3、产品要求：提供合法生产销售证明文件，明确配置清单与技术参数，新能源车型需适配单位充电基础设施（充电接口与车辆数量比不低于1:1）。</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签订合同后10日内按要求交付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（一）验收：（1）现场验收：设备及其备附件到达采购人指定地点后，采购人根据合同要求，在成交供应商和采购人双方同时在场的情况下，进行外观验收，确认产地、规格、型号和数量。 （2）安装调试：成交供应商应配合采购人的工期要求，负责在现场对设备进行安装、调试和试运行，直至验收合格。成交供应商应提供全部安装、调试过程中所需的材料、设施设备、人工等。 （3）成交供应商应向采购人提交项目实施过程中的所有资料，以便采购人日后管理和维护。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注：本次预算还包含车辆购置税、保险、挂牌服务费等相关费用。 1、温馨提示：因项目存档使用，参与投标的供应商须在开标后2个工作日之内递交纸质版响应文件（一正两副），（联系人：王工；联系电话：029-85578186-831；地址：西安市雁塔区朱雀大街南段69号长丰园三区5号楼9层 。） 2、投标担保：（1）投标保证金须从投标人基本户户名转出，如从个人户名或非投标人户名转出，将被拒绝，视为自动放弃投标权利（该个人是供应商的情形除外）；以保函形式交纳投标保证金的，投标人应在投标截止时间前2日内将保函原件递交至代理机构进行备案；投标人应在投标文件中附保函复印件。保函必须由具有开具投标保函资格的单位开具；若供应商违约，开具保函单位承担连带责任；（2）投标保证金的提交金额、时间不满足招标文件要求的，投标无效。 3、本次预算还包含车辆购置税、保险、挂牌服务费等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法定代表人授权书（附法定代表人身份证复印件）及被授权人身份证复印件（法定代表人直接参加招标只需提供法定代表人身份证复印件加盖公章）。并进行电子签章。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完整的财务审计报告(成立时间至提交投标文件截止时间不足一年的可提供成立后任意时段的资产负债表)，或开标前半年内其基本存款账户开户银行出具的资信证明。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提供2025年1月至今已缴纳的至少三个月的纳税证明或完税证明，依法免税的单位应提供相关证明材料。并进行电子签章。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提供2025年1月至今已缴存的至少三个月的社会保障资金缴存单据或社保机构开具的社会保险参保缴费情况证明，依法不需要缴纳社会保障资金的单位应提供相关证明材料。并进行电子签章。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参加本次采购活动前三年内，在政府采购活动中没有重大违法记录声明。并进行电子签章。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供应商未被信用中国网站列入失信被执行人和重大税收违法案件名单；未被列入“中国政府采购网”政府采购严重违法失信行为记录名单。并进行电子签章。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须提供投标保证金交纳凭证（银行汇（存）款回执单）或投标担保函，复印件须加盖投标人公章。并进行电子签章。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供应商必须满足招标文件的商务要求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供应商必须满足招标文件的技术要求</w:t>
            </w:r>
          </w:p>
        </w:tc>
        <w:tc>
          <w:tcPr>
            <w:tcW w:type="dxa" w:w="1661"/>
          </w:tcPr>
          <w:p>
            <w:pPr>
              <w:pStyle w:val="null3"/>
            </w:pPr>
            <w:r>
              <w:rPr>
                <w:rFonts w:ascii="仿宋_GB2312" w:hAnsi="仿宋_GB2312" w:cs="仿宋_GB2312" w:eastAsia="仿宋_GB2312"/>
              </w:rPr>
              <w:t>产品技术参数表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投标报价是否唯一有效的或投标报价是否超过采购预算</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招标文件第三章技术参数要求得24分。每项负偏离扣2分，扣完为止。技术参数以相应的功能证明材料为依据，例如：产品检测报告、官网和功能截图等证明材料；技术参数中无法证明其合理性的或不提供证明材料视为负偏离。技术规格响应偏离表完全复制招标文件技术参数的，专家可给予10分扣减。</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一、评审内容投标人需针对本项目提供项目实施方案。 内容包含：①实施计划：针对项目特点做出计划（包括但不限于实施目的、设备购置类型、车辆检测措施等）；②供货、调试方案：（包括但不限于供货内容、调试措施、供货时间保障、各节点进度安排（采购环节、运输环节、交付环节）等）；③验收措施：提供验收组织措施，能保障产品正常运行并达到要求（包括但不限于验收标准、验收程序、验收内容、验收时间等）；④质量保证措施（包括但不限于质量保证范围、使用寿命及效果、质量保障承诺等）。 二、评审标准： 实施方案各部分内容全面详细、阐述条理清晰详尽、符合本项目招标内容及需求得12分，每缺一项内容扣3分，评审内容有瑕疵的，每存在1处瑕疵扣0.5分，扣完为止。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拟投入本项目团队人员配置及责任制度</w:t>
            </w:r>
          </w:p>
        </w:tc>
        <w:tc>
          <w:tcPr>
            <w:tcW w:type="dxa" w:w="2492"/>
          </w:tcPr>
          <w:p>
            <w:pPr>
              <w:pStyle w:val="null3"/>
            </w:pPr>
            <w:r>
              <w:rPr>
                <w:rFonts w:ascii="仿宋_GB2312" w:hAnsi="仿宋_GB2312" w:cs="仿宋_GB2312" w:eastAsia="仿宋_GB2312"/>
              </w:rPr>
              <w:t>一、评审内容投标人需针对本项目提供人员配置方案。 内容包含：①本项目的人员配置（包括但不限于项目负责人履历、人员数量、详细名单等）；②专业性（包括但不限于团队人员工作经验等）；③责任制度、职责划分。 二、评审标准： 人员配置方案各部分内容全面详细、阐述条理清晰详尽、符合本项目招标内容及需求得6分，每缺一项内容扣2分，评审内容有瑕疵的，每存在1处瑕疵扣0.5分，扣完为止。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投标人提供所投产品的合法来源渠道证明文件或情况说明，得3分。提供不全或不提供不得分。投标人可根据自身情况提供以下资料中的任意一种： 1、如投标人为所投产品代理商：提供货物的合法来源渠道证明文件（例如：产品制造商授权、销售协议、代理协议等证明文件）。 2、如投标人为所投产品的制造商：需提供情况说明（说明产品为制造商自己生产）。备注：以加盖投标人公章的证明材料复印件为计分依据。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一、评审内容针对本项目提供培训方案，为采购人培训操作维护人员，以保障使用过程中能熟练操作、维护和正常使用，培训方案内容包含：①培训内容②培训方式③培训时间④应急保障培训内容 二、评审标准： 培训方案各部分内容全面详细、阐述条理清晰详尽、符合本项目招标内容及需求得8分，每缺一项内容扣2分，评审内容有瑕疵的，每存在1处瑕疵扣0.5分，扣完为止。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根据项目实际需求提供售后服务方案。内容包含：①售后服务范围（包含但不限于故障排除和维修保养以及费用标准、售后服务流程、调换货和退换货售后服务等） ②时间安排（包含但不限于出现故障响应时间、出现故障响应措施、定期回访维护时间等）③售后服务人员的配备（包含但不限于售后人员数量、联系电话、联系人、职务、学历等）④售后服务承诺 二、评审标准： 售后服务方案各部分内容全面详细、阐述条理清晰详尽、符合本项目招标内容及需求得10分，每缺一项内容扣2.5分，评审内容有瑕疵的，每存在1处瑕疵扣0.5分，扣完为止。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根据本项目提供应急保障方案。内容包括①进度延误及出现质量问题时的补救措施②车辆故障处理方案 二、评审标准： 售后服务方案各部分内容全面详细、阐述条理清晰详尽、符合本项目招标内容及需求得4分，每缺一项内容扣2分，评审内容有瑕疵的，每存在1处瑕疵扣0.5分，扣完为止。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投标人提供2023年1月至今的类似项目业绩，投标文件中提供合同复印加盖公章，每提供一个得1分，本项最高得3分。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满足招标文件要求且投标价格最低的投标报价为评标基准价，其价格分为满分。其他投标人的价格分统一按照下列公式计算：投标报价得分=(评标基准价／投标报价)×30%×100； 注：1.小微企业(残疾人福利性单位、监狱企业视同小微企业)价格扣除按照本招标文件投标人须知前附表规定执行。 2.评标过程中，不得去掉报价中的最高报价和最低报价。 3.因落实政府采购政策进行价格调整的，以调整后的价格计算评标基准价和投标报价。 4.评标委员会认为投标人的报价明显低于其 他通过符合性审查投标人的报价，有可能影 响产品质量或者不能诚信履约的，应当要求 其在评标现场合理的时间内提供书面说明， 必要时提交相关证明材料；投标人不能证明 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