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F845D">
      <w:pPr>
        <w:shd w:val="clear" w:color="auto" w:fill="auto"/>
        <w:spacing w:line="360" w:lineRule="auto"/>
        <w:jc w:val="center"/>
        <w:rPr>
          <w:rFonts w:hint="eastAsia" w:ascii="宋体" w:hAnsi="宋体" w:cs="宋体"/>
          <w:color w:val="auto"/>
          <w:sz w:val="28"/>
          <w:szCs w:val="28"/>
          <w:highlight w:val="none"/>
        </w:rPr>
      </w:pPr>
      <w:bookmarkStart w:id="0" w:name="_GoBack"/>
      <w:bookmarkEnd w:id="0"/>
      <w:r>
        <w:rPr>
          <w:rFonts w:hint="eastAsia" w:ascii="宋体" w:hAnsi="宋体" w:cs="宋体"/>
          <w:b/>
          <w:color w:val="auto"/>
          <w:sz w:val="28"/>
          <w:szCs w:val="28"/>
          <w:highlight w:val="none"/>
        </w:rPr>
        <w:t>（本合同仅为制式模板）</w:t>
      </w:r>
    </w:p>
    <w:p w14:paraId="65EE1AE1">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甲方（采购人）：_____________________________________</w:t>
      </w:r>
    </w:p>
    <w:p w14:paraId="6D2274F9">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甲方住所：___________________________________________</w:t>
      </w:r>
    </w:p>
    <w:p w14:paraId="6813AA9E">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乙方（中标供应商）：_________________________________</w:t>
      </w:r>
    </w:p>
    <w:p w14:paraId="6C7B730D">
      <w:pPr>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乙方住所：___________________________________________</w:t>
      </w:r>
    </w:p>
    <w:p w14:paraId="156C3F8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根据《中华人民共和国政府采购法》及实施条例、《中华人民共和国民法典》和〈项目名称〉（项目编号：〈项目编号〉）的招标文件、投标文件等有关规定，为确保甲方采购项目的顺利实施，甲、乙双方在平等自愿原则下签订本合同，并共同遵守如下条款：</w:t>
      </w:r>
    </w:p>
    <w:p w14:paraId="42A0844E">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第一条  项目基本情况</w:t>
      </w:r>
    </w:p>
    <w:p w14:paraId="7050C9F4">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1．采购标的：</w:t>
      </w:r>
    </w:p>
    <w:p w14:paraId="5226A50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2．数量：</w:t>
      </w:r>
    </w:p>
    <w:p w14:paraId="428B1F5D">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第二条  履约期限、地点及方式</w:t>
      </w:r>
    </w:p>
    <w:p w14:paraId="36B7723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1．履约期限：</w:t>
      </w:r>
    </w:p>
    <w:p w14:paraId="27766986">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2．履约地点：</w:t>
      </w:r>
    </w:p>
    <w:p w14:paraId="0664C656">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3．履约方式：</w:t>
      </w:r>
    </w:p>
    <w:p w14:paraId="5FF96926">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第三条  质量标准</w:t>
      </w:r>
    </w:p>
    <w:p w14:paraId="32D71A9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整个项目应符合国家有关行业规范和标准，包括但不限于：</w:t>
      </w:r>
    </w:p>
    <w:p w14:paraId="7E6D4B4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1．GB/T</w:t>
      </w:r>
    </w:p>
    <w:p w14:paraId="2FD6185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p w14:paraId="454CCE74">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第四条  合同价款及支付方式</w:t>
      </w:r>
    </w:p>
    <w:p w14:paraId="6B9E9B3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1．合同价款包括：</w:t>
      </w:r>
    </w:p>
    <w:p w14:paraId="090FCC0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2．支付方式：</w:t>
      </w:r>
    </w:p>
    <w:p w14:paraId="624D47E5">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3．结算方式：银行转账。</w:t>
      </w:r>
    </w:p>
    <w:p w14:paraId="34E109CF">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4．结算单位：由甲方负责结算，乙方须向甲方出具合法有效的完税发票，甲方进行支付结算。</w:t>
      </w:r>
    </w:p>
    <w:p w14:paraId="1BDB0587">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第五条  验收标准及条件</w:t>
      </w:r>
    </w:p>
    <w:p w14:paraId="2180B0C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1．初步验收：</w:t>
      </w:r>
    </w:p>
    <w:p w14:paraId="18F215A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2．最终验收：</w:t>
      </w:r>
    </w:p>
    <w:p w14:paraId="4AA8525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3．验收依据：</w:t>
      </w:r>
    </w:p>
    <w:p w14:paraId="1343A9D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（1）招标文件、投标文件、澄清表（函）；</w:t>
      </w:r>
    </w:p>
    <w:p w14:paraId="12289DFA">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（2）本合同及附件文本；</w:t>
      </w:r>
    </w:p>
    <w:p w14:paraId="3877C402">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（3）合同签订时国家及行业现行的标准和技术规范。</w:t>
      </w:r>
    </w:p>
    <w:p w14:paraId="752E076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4．中标供应商应向采购人提交项目实施过程中的所有资料，以便采购人日后管理和维护。</w:t>
      </w:r>
    </w:p>
    <w:p w14:paraId="26D8946C">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第六条  知识产权（若有）</w:t>
      </w:r>
    </w:p>
    <w:p w14:paraId="73FC4A6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乙方应保证所提供的服务或其任何一部分均不会侵犯任何第三方的专利权、商标权或著作权。</w:t>
      </w:r>
    </w:p>
    <w:p w14:paraId="7762BB09">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第七条  无产权瑕疵条款（若有）</w:t>
      </w:r>
    </w:p>
    <w:p w14:paraId="093DC6B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乙方保证所提供的服务的所有权完全属于乙方且无任何抵押、查封等产权瑕疵。如有产权瑕疵的，视为乙方违约。乙方应负担由此而产生的一切损失。</w:t>
      </w:r>
    </w:p>
    <w:p w14:paraId="00D7D299">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第八条  履约保证金（若有）</w:t>
      </w:r>
    </w:p>
    <w:p w14:paraId="43AED045">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1．乙方在签订本合同之前，向甲方构提交履约保证金人民币______元，￥______。</w:t>
      </w:r>
    </w:p>
    <w:p w14:paraId="41375A92">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2．履约保证金的有效期为乙方承诺的服务期限。</w:t>
      </w:r>
    </w:p>
    <w:p w14:paraId="643C2890">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3．履约保证金作为违约金的一部分及用于补偿甲方因乙方不能履行合同义务而蒙受的损失。</w:t>
      </w:r>
    </w:p>
    <w:p w14:paraId="60DFBA90">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4．服务期限结束后，甲方财务部门接到甲方确认本合同服务等约定事项已经履行完毕的正式书面文件后的___日历日内，向乙方退还履约保证金。</w:t>
      </w:r>
    </w:p>
    <w:p w14:paraId="6D3D814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5．乙方可以履约担保函的形式交纳履约保证金。</w:t>
      </w:r>
    </w:p>
    <w:p w14:paraId="658107C8">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第九条  双方的权利和义务</w:t>
      </w:r>
    </w:p>
    <w:p w14:paraId="159B12B6">
      <w:pPr>
        <w:pStyle w:val="7"/>
        <w:pageBreakBefore w:val="0"/>
        <w:widowControl w:val="0"/>
        <w:shd w:val="clear" w:color="auto" w:fill="auto"/>
        <w:kinsoku/>
        <w:wordWrap/>
        <w:overflowPunct/>
        <w:topLinePunct w:val="0"/>
        <w:autoSpaceDE/>
        <w:autoSpaceDN/>
        <w:bidi w:val="0"/>
        <w:adjustRightInd/>
        <w:snapToGrid/>
        <w:spacing w:before="210" w:after="210" w:line="240" w:lineRule="auto"/>
        <w:ind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（一）甲方的权利和义务</w:t>
      </w:r>
    </w:p>
    <w:p w14:paraId="1B3ACBB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1．甲方有权对合同规定范围内乙方的服务行为进行监督和检查，拥有监管权。有权定期核对乙方提供服务所配备的人员数量。对甲方认为不合理的部分有权下达整改通知书，并要求乙方限期整改。</w:t>
      </w:r>
    </w:p>
    <w:p w14:paraId="30554AE4">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2．甲方有权依据双方签订的考评办法对乙方提供的服务进行定期考评。</w:t>
      </w:r>
    </w:p>
    <w:p w14:paraId="2CCB8584">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3．负责检查监督乙方管理工作的实施及制度的执行情况。</w:t>
      </w:r>
    </w:p>
    <w:p w14:paraId="48BA233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4．根据本合同规定，按时向乙方支付应付服务费用。</w:t>
      </w:r>
    </w:p>
    <w:p w14:paraId="0C2FD3AD">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5．验收应在甲方和乙方双方共同参加下进行。甲方组成验收小组按国家有关规定、规范进行验收，验收时将会邀请相关的专业人员或机构参与验收。</w:t>
      </w:r>
    </w:p>
    <w:p w14:paraId="4A564E6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6．国家法律、法规所规定由甲方承担的其它责任。</w:t>
      </w:r>
    </w:p>
    <w:p w14:paraId="4F0A5947">
      <w:pPr>
        <w:pStyle w:val="7"/>
        <w:pageBreakBefore w:val="0"/>
        <w:widowControl w:val="0"/>
        <w:shd w:val="clear" w:color="auto" w:fill="auto"/>
        <w:kinsoku/>
        <w:wordWrap/>
        <w:overflowPunct/>
        <w:topLinePunct w:val="0"/>
        <w:autoSpaceDE/>
        <w:autoSpaceDN/>
        <w:bidi w:val="0"/>
        <w:adjustRightInd/>
        <w:snapToGrid/>
        <w:spacing w:before="210" w:after="210" w:line="240" w:lineRule="auto"/>
        <w:ind w:firstLine="6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（二）乙方的权利和义务</w:t>
      </w:r>
    </w:p>
    <w:p w14:paraId="0278EBF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1．对本合同规定的委托服务范围内的项目享有管理权及服务义务。</w:t>
      </w:r>
    </w:p>
    <w:p w14:paraId="5F0EDE0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2．根据本合同的规定向甲方收取相关服务费用，并有权在本项目管理范围内管理及合理使用。</w:t>
      </w:r>
    </w:p>
    <w:p w14:paraId="5129242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3．及时向甲方通告本项目服务范围内有关服务的重大事项，及时配合处理投诉。</w:t>
      </w:r>
    </w:p>
    <w:p w14:paraId="175AC67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4．接受项目行业管理部门及政府有关部门的指导，接受甲方的监督。</w:t>
      </w:r>
    </w:p>
    <w:p w14:paraId="685E325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5．国家法律、法规所规定由乙方承担的其它责任。</w:t>
      </w:r>
    </w:p>
    <w:p w14:paraId="22EA830F">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第十条  违约责任</w:t>
      </w:r>
    </w:p>
    <w:p w14:paraId="68784A2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1．甲乙双方必须遵守本合同并执行合同中的各项规定，保证本合同的正常履行。</w:t>
      </w:r>
    </w:p>
    <w:p w14:paraId="77BC8365">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5DFC5B09">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第十一条  不可抗力事件处理</w:t>
      </w:r>
    </w:p>
    <w:p w14:paraId="15EFD1C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1．在合同有效期内，任何一方因不可抗力事件导致不能履行合同，则合同履行期可延长，其延长期与不可抗力影响期相同。</w:t>
      </w:r>
    </w:p>
    <w:p w14:paraId="3CBA354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2．不可抗力事件发生后，应立即通知对方，并寄送有关权威机构出具的证明。</w:t>
      </w:r>
    </w:p>
    <w:p w14:paraId="246200E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3．不可抗力事件延续15个日历日以上，双方应通过友好协商，确定是否继续履行合同。</w:t>
      </w:r>
    </w:p>
    <w:p w14:paraId="2C2B108F">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第十二条  合同的变更和终止</w:t>
      </w:r>
    </w:p>
    <w:p w14:paraId="639CDE93">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除《中华人民共和国政府采购法》第49条、第50条第二款规定的情形外，本合同一经签订，甲乙双方不得擅自变更、中止或终止合同。</w:t>
      </w:r>
    </w:p>
    <w:p w14:paraId="3EC2C847">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第十三条  解决合同纠纷的方式</w:t>
      </w:r>
    </w:p>
    <w:p w14:paraId="14EFDBD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1．在执行本合同中发生的或与本合同有关的争端，双方应通过友好协商解决，经协商在___天内不能达成协议时，则采取以下第___种方式解决争议：</w:t>
      </w:r>
    </w:p>
    <w:p w14:paraId="056D558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（1）向甲方所在地有管辖权的人民法院提起诉讼；</w:t>
      </w:r>
    </w:p>
    <w:p w14:paraId="1C5D6498">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（2）向西安仲裁委员会按其仲裁规则申请仲裁。</w:t>
      </w:r>
    </w:p>
    <w:p w14:paraId="609AC70A">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2．在仲裁期间，本合同应继续履行。</w:t>
      </w:r>
    </w:p>
    <w:p w14:paraId="40EB4E8C">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第十四条  合同生效及其他</w:t>
      </w:r>
    </w:p>
    <w:p w14:paraId="59F6BFB1">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1．合同经双方法定代表人（单位负责人）或授权委托代理人签名并加盖单位公章并由采购代理机构盖章后生效。</w:t>
      </w:r>
    </w:p>
    <w:p w14:paraId="5874AFC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2．合同执行中涉及采购资金和采购内容修改或补充的，须经政府采购监管部门审批，并签书面补充协议报政府采购监督管理部门备案，方可作为主合同不可分割的一部分。</w:t>
      </w:r>
    </w:p>
    <w:p w14:paraId="3D4DA5CB">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3．本合同一式</w:t>
      </w:r>
      <w:r>
        <w:rPr>
          <w:rFonts w:hint="eastAsia" w:ascii="宋体" w:hAnsi="宋体" w:eastAsia="宋体" w:cs="宋体"/>
          <w:color w:val="auto"/>
          <w:sz w:val="24"/>
          <w:szCs w:val="24"/>
          <w:highlight w:val="none"/>
          <w:lang w:eastAsia="zh-CN"/>
        </w:rPr>
        <w:t>肆</w:t>
      </w:r>
      <w:r>
        <w:rPr>
          <w:rFonts w:hint="eastAsia" w:ascii="宋体" w:hAnsi="宋体" w:eastAsia="宋体" w:cs="宋体"/>
          <w:color w:val="auto"/>
          <w:sz w:val="24"/>
          <w:szCs w:val="24"/>
          <w:highlight w:val="none"/>
        </w:rPr>
        <w:t>份，自双方签章之日起起效。甲方贰份，乙方贰份</w:t>
      </w:r>
      <w:r>
        <w:rPr>
          <w:rFonts w:hint="eastAsia" w:ascii="宋体" w:hAnsi="宋体" w:eastAsia="宋体" w:cs="宋体"/>
          <w:color w:val="auto"/>
          <w:sz w:val="24"/>
          <w:szCs w:val="24"/>
          <w:highlight w:val="none"/>
          <w:lang w:eastAsia="zh-CN"/>
        </w:rPr>
        <w:t>。</w:t>
      </w:r>
    </w:p>
    <w:p w14:paraId="2B7E4DCA">
      <w:pPr>
        <w:pStyle w:val="3"/>
        <w:pageBreakBefore w:val="0"/>
        <w:widowControl w:val="0"/>
        <w:shd w:val="clear" w:color="auto" w:fill="auto"/>
        <w:kinsoku/>
        <w:wordWrap/>
        <w:overflowPunct/>
        <w:topLinePunct w:val="0"/>
        <w:autoSpaceDE/>
        <w:autoSpaceDN/>
        <w:bidi w:val="0"/>
        <w:adjustRightInd/>
        <w:snapToGrid/>
        <w:spacing w:line="24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第十五条  附件</w:t>
      </w:r>
    </w:p>
    <w:p w14:paraId="5F287587">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1．项目招标文件</w:t>
      </w:r>
    </w:p>
    <w:p w14:paraId="5ECB2E2E">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2．项目修改澄清文件</w:t>
      </w:r>
    </w:p>
    <w:p w14:paraId="78936649">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3．项目投标文件</w:t>
      </w:r>
    </w:p>
    <w:p w14:paraId="486D4B23">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4．成交通知书</w:t>
      </w:r>
    </w:p>
    <w:p w14:paraId="139A3556">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5．其他</w:t>
      </w:r>
    </w:p>
    <w:p w14:paraId="769546BC">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p>
    <w:p w14:paraId="226FC0DD">
      <w:pPr>
        <w:pageBreakBefore w:val="0"/>
        <w:widowControl w:val="0"/>
        <w:shd w:val="clear" w:color="auto" w:fill="auto"/>
        <w:kinsoku/>
        <w:wordWrap/>
        <w:overflowPunct/>
        <w:topLinePunct w:val="0"/>
        <w:autoSpaceDE/>
        <w:autoSpaceDN/>
        <w:bidi w:val="0"/>
        <w:adjustRightInd/>
        <w:snapToGrid/>
        <w:spacing w:line="24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（以下无正文）</w:t>
      </w:r>
    </w:p>
    <w:p w14:paraId="103A7E4B">
      <w:pPr>
        <w:shd w:val="clear" w:color="auto" w:fill="auto"/>
        <w:spacing w:line="560" w:lineRule="exact"/>
        <w:ind w:firstLine="480" w:firstLineChars="200"/>
        <w:jc w:val="both"/>
        <w:rPr>
          <w:rFonts w:hint="eastAsia" w:ascii="宋体" w:hAnsi="宋体" w:eastAsia="宋体" w:cs="宋体"/>
          <w:color w:val="auto"/>
          <w:sz w:val="24"/>
          <w:szCs w:val="24"/>
          <w:highlight w:val="none"/>
        </w:rPr>
      </w:pPr>
    </w:p>
    <w:tbl>
      <w:tblPr>
        <w:tblStyle w:val="5"/>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2"/>
        <w:gridCol w:w="2672"/>
        <w:gridCol w:w="1762"/>
        <w:gridCol w:w="2672"/>
      </w:tblGrid>
      <w:tr w14:paraId="6046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474FF13C">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w:t>
            </w:r>
          </w:p>
          <w:p w14:paraId="29E3EA40">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2494" w:type="dxa"/>
            <w:noWrap w:val="0"/>
            <w:vAlign w:val="center"/>
          </w:tcPr>
          <w:p w14:paraId="3263D3A1">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401B860D">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p w14:paraId="5FE8205B">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（盖章）：</w:t>
            </w:r>
          </w:p>
        </w:tc>
        <w:tc>
          <w:tcPr>
            <w:tcW w:w="2494" w:type="dxa"/>
            <w:noWrap w:val="0"/>
            <w:vAlign w:val="center"/>
          </w:tcPr>
          <w:p w14:paraId="7CA603B5">
            <w:pPr>
              <w:shd w:val="clear" w:color="auto" w:fill="auto"/>
              <w:jc w:val="center"/>
              <w:rPr>
                <w:rFonts w:hint="eastAsia" w:ascii="宋体" w:hAnsi="宋体" w:eastAsia="宋体" w:cs="宋体"/>
                <w:color w:val="auto"/>
                <w:sz w:val="24"/>
                <w:szCs w:val="24"/>
                <w:highlight w:val="none"/>
              </w:rPr>
            </w:pPr>
          </w:p>
        </w:tc>
      </w:tr>
      <w:tr w14:paraId="6C435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65730A43">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1152B618">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2494" w:type="dxa"/>
            <w:noWrap w:val="0"/>
            <w:vAlign w:val="center"/>
          </w:tcPr>
          <w:p w14:paraId="6654D27C">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76DA0EFB">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566A597D">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tc>
        <w:tc>
          <w:tcPr>
            <w:tcW w:w="2494" w:type="dxa"/>
            <w:noWrap w:val="0"/>
            <w:vAlign w:val="center"/>
          </w:tcPr>
          <w:p w14:paraId="707735BE">
            <w:pPr>
              <w:shd w:val="clear" w:color="auto" w:fill="auto"/>
              <w:jc w:val="center"/>
              <w:rPr>
                <w:rFonts w:hint="eastAsia" w:ascii="宋体" w:hAnsi="宋体" w:eastAsia="宋体" w:cs="宋体"/>
                <w:color w:val="auto"/>
                <w:sz w:val="24"/>
                <w:szCs w:val="24"/>
                <w:highlight w:val="none"/>
              </w:rPr>
            </w:pPr>
          </w:p>
        </w:tc>
      </w:tr>
      <w:tr w14:paraId="0B4CF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35CD258E">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2494" w:type="dxa"/>
            <w:noWrap w:val="0"/>
            <w:vAlign w:val="center"/>
          </w:tcPr>
          <w:p w14:paraId="40AD11F7">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24CEB105">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p>
        </w:tc>
        <w:tc>
          <w:tcPr>
            <w:tcW w:w="2494" w:type="dxa"/>
            <w:noWrap w:val="0"/>
            <w:vAlign w:val="center"/>
          </w:tcPr>
          <w:p w14:paraId="0D3999D1">
            <w:pPr>
              <w:shd w:val="clear" w:color="auto" w:fill="auto"/>
              <w:jc w:val="center"/>
              <w:rPr>
                <w:rFonts w:hint="eastAsia" w:ascii="宋体" w:hAnsi="宋体" w:eastAsia="宋体" w:cs="宋体"/>
                <w:color w:val="auto"/>
                <w:sz w:val="24"/>
                <w:szCs w:val="24"/>
                <w:highlight w:val="none"/>
              </w:rPr>
            </w:pPr>
          </w:p>
        </w:tc>
      </w:tr>
      <w:tr w14:paraId="0E755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75DDDE9B">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494" w:type="dxa"/>
            <w:noWrap w:val="0"/>
            <w:vAlign w:val="center"/>
          </w:tcPr>
          <w:p w14:paraId="6F5B801A">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21CDAA52">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494" w:type="dxa"/>
            <w:noWrap w:val="0"/>
            <w:vAlign w:val="center"/>
          </w:tcPr>
          <w:p w14:paraId="314A23CE">
            <w:pPr>
              <w:shd w:val="clear" w:color="auto" w:fill="auto"/>
              <w:jc w:val="center"/>
              <w:rPr>
                <w:rFonts w:hint="eastAsia" w:ascii="宋体" w:hAnsi="宋体" w:eastAsia="宋体" w:cs="宋体"/>
                <w:color w:val="auto"/>
                <w:sz w:val="24"/>
                <w:szCs w:val="24"/>
                <w:highlight w:val="none"/>
              </w:rPr>
            </w:pPr>
          </w:p>
        </w:tc>
      </w:tr>
      <w:tr w14:paraId="309F7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70983F06">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银行帐号：</w:t>
            </w:r>
          </w:p>
        </w:tc>
        <w:tc>
          <w:tcPr>
            <w:tcW w:w="2494" w:type="dxa"/>
            <w:noWrap w:val="0"/>
            <w:vAlign w:val="center"/>
          </w:tcPr>
          <w:p w14:paraId="0035ED69">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19C33A54">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银行帐号：</w:t>
            </w:r>
          </w:p>
        </w:tc>
        <w:tc>
          <w:tcPr>
            <w:tcW w:w="2494" w:type="dxa"/>
            <w:noWrap w:val="0"/>
            <w:vAlign w:val="center"/>
          </w:tcPr>
          <w:p w14:paraId="39CF7B0E">
            <w:pPr>
              <w:shd w:val="clear" w:color="auto" w:fill="auto"/>
              <w:jc w:val="center"/>
              <w:rPr>
                <w:rFonts w:hint="eastAsia" w:ascii="宋体" w:hAnsi="宋体" w:eastAsia="宋体" w:cs="宋体"/>
                <w:color w:val="auto"/>
                <w:sz w:val="24"/>
                <w:szCs w:val="24"/>
                <w:highlight w:val="none"/>
              </w:rPr>
            </w:pPr>
          </w:p>
        </w:tc>
      </w:tr>
      <w:tr w14:paraId="60379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3B04ADA7">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494" w:type="dxa"/>
            <w:noWrap w:val="0"/>
            <w:vAlign w:val="center"/>
          </w:tcPr>
          <w:p w14:paraId="0727C968">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18887DAA">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p>
        </w:tc>
        <w:tc>
          <w:tcPr>
            <w:tcW w:w="2494" w:type="dxa"/>
            <w:noWrap w:val="0"/>
            <w:vAlign w:val="center"/>
          </w:tcPr>
          <w:p w14:paraId="052640C1">
            <w:pPr>
              <w:shd w:val="clear" w:color="auto" w:fill="auto"/>
              <w:jc w:val="center"/>
              <w:rPr>
                <w:rFonts w:hint="eastAsia" w:ascii="宋体" w:hAnsi="宋体" w:eastAsia="宋体" w:cs="宋体"/>
                <w:color w:val="auto"/>
                <w:sz w:val="24"/>
                <w:szCs w:val="24"/>
                <w:highlight w:val="none"/>
              </w:rPr>
            </w:pPr>
          </w:p>
        </w:tc>
      </w:tr>
      <w:tr w14:paraId="7D6FE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2E6E1F4F">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494" w:type="dxa"/>
            <w:noWrap w:val="0"/>
            <w:vAlign w:val="center"/>
          </w:tcPr>
          <w:p w14:paraId="76CBA47B">
            <w:pPr>
              <w:shd w:val="clear" w:color="auto" w:fill="auto"/>
              <w:jc w:val="center"/>
              <w:rPr>
                <w:rFonts w:hint="eastAsia" w:ascii="宋体" w:hAnsi="宋体" w:eastAsia="宋体" w:cs="宋体"/>
                <w:color w:val="auto"/>
                <w:sz w:val="24"/>
                <w:szCs w:val="24"/>
                <w:highlight w:val="none"/>
              </w:rPr>
            </w:pPr>
          </w:p>
        </w:tc>
        <w:tc>
          <w:tcPr>
            <w:tcW w:w="1644" w:type="dxa"/>
            <w:noWrap w:val="0"/>
            <w:vAlign w:val="center"/>
          </w:tcPr>
          <w:p w14:paraId="79AB942C">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p>
        </w:tc>
        <w:tc>
          <w:tcPr>
            <w:tcW w:w="2494" w:type="dxa"/>
            <w:noWrap w:val="0"/>
            <w:vAlign w:val="center"/>
          </w:tcPr>
          <w:p w14:paraId="1A044457">
            <w:pPr>
              <w:shd w:val="clear" w:color="auto" w:fill="auto"/>
              <w:jc w:val="center"/>
              <w:rPr>
                <w:rFonts w:hint="eastAsia" w:ascii="宋体" w:hAnsi="宋体" w:eastAsia="宋体" w:cs="宋体"/>
                <w:color w:val="auto"/>
                <w:sz w:val="24"/>
                <w:szCs w:val="24"/>
                <w:highlight w:val="none"/>
              </w:rPr>
            </w:pPr>
          </w:p>
        </w:tc>
      </w:tr>
      <w:tr w14:paraId="24F49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644" w:type="dxa"/>
            <w:noWrap w:val="0"/>
            <w:vAlign w:val="center"/>
          </w:tcPr>
          <w:p w14:paraId="034AC5BD">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w:t>
            </w:r>
          </w:p>
        </w:tc>
        <w:tc>
          <w:tcPr>
            <w:tcW w:w="2494" w:type="dxa"/>
            <w:noWrap w:val="0"/>
            <w:vAlign w:val="center"/>
          </w:tcPr>
          <w:p w14:paraId="1BC7E4B3">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c>
          <w:tcPr>
            <w:tcW w:w="1644" w:type="dxa"/>
            <w:noWrap w:val="0"/>
            <w:vAlign w:val="center"/>
          </w:tcPr>
          <w:p w14:paraId="76E52F11">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签约日期：</w:t>
            </w:r>
          </w:p>
        </w:tc>
        <w:tc>
          <w:tcPr>
            <w:tcW w:w="2494" w:type="dxa"/>
            <w:noWrap w:val="0"/>
            <w:vAlign w:val="center"/>
          </w:tcPr>
          <w:p w14:paraId="139A90D9">
            <w:pPr>
              <w:shd w:val="clear" w:color="auto" w:fill="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年 月 日</w:t>
            </w:r>
          </w:p>
        </w:tc>
      </w:tr>
    </w:tbl>
    <w:p w14:paraId="4B94E98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0000000000000000000"/>
    <w:charset w:val="86"/>
    <w:family w:val="auto"/>
    <w:pitch w:val="default"/>
    <w:sig w:usb0="00000000" w:usb1="0000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8414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alloon Text"/>
    <w:basedOn w:val="1"/>
    <w:unhideWhenUsed/>
    <w:qFormat/>
    <w:uiPriority w:val="99"/>
    <w:rPr>
      <w:rFonts w:ascii="Times New Roman" w:hAnsi="Times New Roman"/>
      <w:sz w:val="18"/>
      <w:szCs w:val="18"/>
    </w:rPr>
  </w:style>
  <w:style w:type="table" w:styleId="5">
    <w:name w:val="Table Grid"/>
    <w:basedOn w:val="4"/>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样式2"/>
    <w:basedOn w:val="8"/>
    <w:qFormat/>
    <w:uiPriority w:val="0"/>
    <w:pPr>
      <w:spacing w:line="560" w:lineRule="exact"/>
      <w:ind w:firstLine="643" w:firstLineChars="200"/>
      <w:jc w:val="both"/>
    </w:pPr>
    <w:rPr>
      <w:rFonts w:ascii="仿宋_GB2312" w:hAnsi="仿宋" w:eastAsia="仿宋_GB2312"/>
      <w:b/>
      <w:bCs/>
      <w:szCs w:val="32"/>
    </w:rPr>
  </w:style>
  <w:style w:type="paragraph" w:customStyle="1" w:styleId="8">
    <w:name w:val="@标题"/>
    <w:basedOn w:val="1"/>
    <w:next w:val="9"/>
    <w:qFormat/>
    <w:uiPriority w:val="0"/>
    <w:pPr>
      <w:keepNext/>
      <w:spacing w:before="50" w:beforeLines="50" w:after="50" w:afterLines="50"/>
      <w:jc w:val="center"/>
      <w:outlineLvl w:val="1"/>
    </w:pPr>
    <w:rPr>
      <w:rFonts w:eastAsia="黑体"/>
      <w:kern w:val="32"/>
      <w:sz w:val="32"/>
      <w:szCs w:val="24"/>
    </w:rPr>
  </w:style>
  <w:style w:type="paragraph" w:customStyle="1" w:styleId="9">
    <w:name w:val="@正文"/>
    <w:basedOn w:val="10"/>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10">
    <w:name w:val="※正文"/>
    <w:basedOn w:val="1"/>
    <w:next w:val="1"/>
    <w:qFormat/>
    <w:uiPriority w:val="0"/>
    <w:pPr>
      <w:wordWrap w:val="0"/>
      <w:spacing w:line="400" w:lineRule="exact"/>
    </w:pPr>
    <w:rPr>
      <w:rFonts w:ascii="Calibri Light" w:hAnsi="Calibri Light" w:eastAsia="华文仿宋"/>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2026-01-23T07:19:37Z</dcterms:created>
  <dc:creator>Administrator</dc:creator>
  <cp:lastModifiedBy>樱花街的盛夏</cp:lastModifiedBy>
  <dcterms:modified xsi:type="dcterms:W3CDTF">2026-01-23T07:19:47Z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eyJoZGlkIjoiMjgyMThkNjQ5ODY3Mzc2NzA0Mzc1NmJjOTQ4NDJhZmMiLCJ1c2VySWQiOiI2NDcxNzE4MDkifQ==</vt:lpwstr>
  </property>
  <property fmtid="{D5CDD505-2E9C-101B-9397-08002B2CF9AE}" pid="4" name="ICV">
    <vt:lpwstr>44B12E483BE64C71A04E487635F30817_12</vt:lpwstr>
  </property>
</Properties>
</file>