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版本号：ZBZB-2026-280820260108002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教室护眼灯采购及安装工程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ZBZB-2026-2808</w:t>
      </w:r>
      <w:r>
        <w:br/>
      </w:r>
      <w:r>
        <w:br/>
      </w:r>
      <w:r>
        <w:br/>
      </w:r>
    </w:p>
    <w:p>
      <w:pPr>
        <w:pStyle w:val="null3"/>
        <w:jc w:val="center"/>
        <w:outlineLvl w:val="2"/>
      </w:pPr>
      <w:r>
        <w:rPr>
          <w:rFonts w:ascii="仿宋_GB2312" w:hAnsi="仿宋_GB2312" w:cs="仿宋_GB2312" w:eastAsia="仿宋_GB2312"/>
          <w:sz w:val="28"/>
          <w:b/>
        </w:rPr>
        <w:t>白水县仓颉中学</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白水县仓颉中学</w:t>
      </w:r>
      <w:r>
        <w:rPr>
          <w:rFonts w:ascii="仿宋_GB2312" w:hAnsi="仿宋_GB2312" w:cs="仿宋_GB2312" w:eastAsia="仿宋_GB2312"/>
        </w:rPr>
        <w:t>委托，拟对</w:t>
      </w:r>
      <w:r>
        <w:rPr>
          <w:rFonts w:ascii="仿宋_GB2312" w:hAnsi="仿宋_GB2312" w:cs="仿宋_GB2312" w:eastAsia="仿宋_GB2312"/>
        </w:rPr>
        <w:t>教室护眼灯采购及安装工程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ZBZB-2026-2808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教室护眼灯采购及安装工程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教室护眼灯采购及安装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采购包1（白水县仓颉中学教室护眼灯采购及安装工程）：属于专门面向中小企业采购。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2、授权书：法定代表人授权书（附法定代表人身份证复印件）及被授权人身份证复印件（法定代表人直接参加投标须出具法定代表人证明书及法定代表人身份证复印件）。</w:t>
      </w:r>
    </w:p>
    <w:p>
      <w:pPr>
        <w:pStyle w:val="null3"/>
      </w:pPr>
      <w:r>
        <w:rPr>
          <w:rFonts w:ascii="仿宋_GB2312" w:hAnsi="仿宋_GB2312" w:cs="仿宋_GB2312" w:eastAsia="仿宋_GB2312"/>
        </w:rPr>
        <w:t>3、财务状况：提供2023年或2024年的财务审计报告（成立时间至提交投标文件截止时间不足一年的可提供成立后任意时段的资产负债表）；或其基本存款账户开户银行出具开标前半年内的资信证明。</w:t>
      </w:r>
    </w:p>
    <w:p>
      <w:pPr>
        <w:pStyle w:val="null3"/>
      </w:pPr>
      <w:r>
        <w:rPr>
          <w:rFonts w:ascii="仿宋_GB2312" w:hAnsi="仿宋_GB2312" w:cs="仿宋_GB2312" w:eastAsia="仿宋_GB2312"/>
        </w:rPr>
        <w:t>4、完税证明：提供2025年1月至今已缴纳的至少三个月的纳税证明或完税证明，依法免税的单位应提供相关证明材料。</w:t>
      </w:r>
    </w:p>
    <w:p>
      <w:pPr>
        <w:pStyle w:val="null3"/>
      </w:pPr>
      <w:r>
        <w:rPr>
          <w:rFonts w:ascii="仿宋_GB2312" w:hAnsi="仿宋_GB2312" w:cs="仿宋_GB2312" w:eastAsia="仿宋_GB2312"/>
        </w:rPr>
        <w:t>5、社保缴纳情况：提供2025年1月至今已缴存的至少三个月的社会保障资金缴存单据或社保机构开具的社会保险参保缴费情况证明，依法不需要缴纳社会保障资金的单位应提供相关证明材料。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6、承诺书：提供具有履行本合同所必需的设备和专业技术能力的说明及承诺书。</w:t>
      </w:r>
    </w:p>
    <w:p>
      <w:pPr>
        <w:pStyle w:val="null3"/>
      </w:pPr>
      <w:r>
        <w:rPr>
          <w:rFonts w:ascii="仿宋_GB2312" w:hAnsi="仿宋_GB2312" w:cs="仿宋_GB2312" w:eastAsia="仿宋_GB2312"/>
        </w:rPr>
        <w:t>7、无重大违法记录说明：参加政府采购活动前3年内在经营活动中没有重大违法记录的书面声明。</w:t>
      </w:r>
    </w:p>
    <w:p>
      <w:pPr>
        <w:pStyle w:val="null3"/>
      </w:pPr>
      <w:r>
        <w:rPr>
          <w:rFonts w:ascii="仿宋_GB2312" w:hAnsi="仿宋_GB2312" w:cs="仿宋_GB2312" w:eastAsia="仿宋_GB2312"/>
        </w:rPr>
        <w:t>8、信用查询：供应商未被“信用中国（中国执行信息公开网）列为失信被执行人、重大税收违法失信主体，未被中国政府采购网（www.ccgp.gov.cn）列入政府采购严重违法失信行为记录名单。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9、投标担保：须提供投标保证金交纳凭证（银行汇（存）款回执单）或投标担保函，复印件须加盖投标人公章。</w:t>
      </w:r>
    </w:p>
    <w:p>
      <w:pPr>
        <w:pStyle w:val="null3"/>
      </w:pPr>
      <w:r>
        <w:rPr>
          <w:rFonts w:ascii="仿宋_GB2312" w:hAnsi="仿宋_GB2312" w:cs="仿宋_GB2312" w:eastAsia="仿宋_GB2312"/>
        </w:rPr>
        <w:t>10、专门面向中小企业：本项目专门面向中小企业采购项目，需提供中小企业声明函。</w:t>
      </w:r>
    </w:p>
    <w:p>
      <w:pPr>
        <w:pStyle w:val="null3"/>
      </w:pPr>
      <w:r>
        <w:rPr>
          <w:rFonts w:ascii="仿宋_GB2312" w:hAnsi="仿宋_GB2312" w:cs="仿宋_GB2312" w:eastAsia="仿宋_GB2312"/>
        </w:rPr>
        <w:t>11、不接受联合体声明：本项目不接受联合体投标（提供声明函）。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白水县仓颉中学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13991208835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采购包1：424,080.00元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LED教室灯、LED黑板灯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LED教室灯、LED黑板灯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银行账号：30205380002022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 号）和国家发展和改革委员发改价格【2011】534号文规定，经协商由成交供应商向采购代理 机构支付招标代理服务费（包含“招标代理费、会务费（如有）”），如本项目各包服务费不足 伍仟元则供应商按伍仟元支付服务费。 缴费信息如下： 开户名称：陕西正邦招标有限责任公司 开户银行：平安银行西安分行营业部/平安银行西安分行 银行账号：30205380002022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白水县仓颉中学</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白水县仓颉中学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白水县仓颉中学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联系电话：029-85578186转819</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邮编：716100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白水县仓颉中学教室护眼灯采购及安装工程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424,080.00</w:t>
      </w:r>
    </w:p>
    <w:p>
      <w:pPr>
        <w:pStyle w:val="null3"/>
      </w:pPr>
      <w:r>
        <w:rPr>
          <w:rFonts w:ascii="仿宋_GB2312" w:hAnsi="仿宋_GB2312" w:cs="仿宋_GB2312" w:eastAsia="仿宋_GB2312"/>
        </w:rPr>
        <w:t>采购包最高限价（元）: 424,080.00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白水县仓颉中学教室护眼灯采购及安装工程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424,080.00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白水县仓颉中学教室护眼灯采购及安装工程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41"/>
              <w:gridCol w:w="150"/>
              <w:gridCol w:w="173"/>
              <w:gridCol w:w="2087"/>
            </w:tblGrid>
            <w:tr>
              <w:tc>
                <w:tcPr>
                  <w:tcW w:type="dxa" w:w="1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5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LED教室灯（核心产品）</w:t>
                  </w:r>
                </w:p>
              </w:tc>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432个</w:t>
                  </w: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1、LED教室灯长度≥1</w:t>
                  </w:r>
                  <w:r>
                    <w:rPr>
                      <w:rFonts w:ascii="仿宋_GB2312" w:hAnsi="仿宋_GB2312" w:cs="仿宋_GB2312" w:eastAsia="仿宋_GB2312"/>
                      <w:sz w:val="21"/>
                      <w:color w:val="000000"/>
                    </w:rPr>
                    <w:t>100</w:t>
                  </w:r>
                  <w:r>
                    <w:rPr>
                      <w:rFonts w:ascii="仿宋_GB2312" w:hAnsi="仿宋_GB2312" w:cs="仿宋_GB2312" w:eastAsia="仿宋_GB2312"/>
                      <w:sz w:val="21"/>
                      <w:color w:val="000000"/>
                    </w:rPr>
                    <w:t>mm；为一体式格栅防眩灯具，灯具外形应平整、无凹陷和毛刺，焊缝无透光现象，表面均匀、光洁，无流挂现象。</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2、LED教室灯色温（或相关色温）满足3300-5500K；</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3、LED教室灯显色指数满足Ra≥95，R9≥90；</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4、LED教室灯满足功率：36W±2W，功率因数：≥0.98；</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、LED教室灯光效（或灯具效能）满足：≥</w:t>
                  </w:r>
                  <w:r>
                    <w:rPr>
                      <w:rFonts w:ascii="仿宋_GB2312" w:hAnsi="仿宋_GB2312" w:cs="仿宋_GB2312" w:eastAsia="仿宋_GB2312"/>
                      <w:sz w:val="21"/>
                      <w:color w:val="000000"/>
                    </w:rPr>
                    <w:t>95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lm/W；</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6、LED教室灯色容差满足：≤</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LED教室灯正常燃点</w:t>
                  </w:r>
                  <w:r>
                    <w:rPr>
                      <w:rFonts w:ascii="仿宋_GB2312" w:hAnsi="仿宋_GB2312" w:cs="仿宋_GB2312" w:eastAsia="仿宋_GB2312"/>
                      <w:sz w:val="21"/>
                      <w:color w:val="000000"/>
                    </w:rPr>
                    <w:t>1</w:t>
                  </w:r>
                  <w:r>
                    <w:rPr>
                      <w:rFonts w:ascii="仿宋_GB2312" w:hAnsi="仿宋_GB2312" w:cs="仿宋_GB2312" w:eastAsia="仿宋_GB2312"/>
                      <w:sz w:val="21"/>
                      <w:color w:val="000000"/>
                    </w:rPr>
                    <w:t>0000小时或以上时间</w:t>
                  </w:r>
                  <w:r>
                    <w:rPr>
                      <w:rFonts w:ascii="仿宋_GB2312" w:hAnsi="仿宋_GB2312" w:cs="仿宋_GB2312" w:eastAsia="仿宋_GB2312"/>
                      <w:sz w:val="21"/>
                      <w:color w:val="000000"/>
                    </w:rPr>
                    <w:t>光通量维持率≥</w:t>
                  </w:r>
                  <w:r>
                    <w:rPr>
                      <w:rFonts w:ascii="仿宋_GB2312" w:hAnsi="仿宋_GB2312" w:cs="仿宋_GB2312" w:eastAsia="仿宋_GB2312"/>
                      <w:sz w:val="21"/>
                      <w:color w:val="000000"/>
                    </w:rPr>
                    <w:t>98%</w:t>
                  </w:r>
                  <w:r>
                    <w:rPr>
                      <w:rFonts w:ascii="仿宋_GB2312" w:hAnsi="仿宋_GB2312" w:cs="仿宋_GB2312" w:eastAsia="仿宋_GB2312"/>
                      <w:sz w:val="21"/>
                      <w:color w:val="000000"/>
                    </w:rPr>
                    <w:t>；</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注：产品要出具国家相关机构认证的CCC认证和节能认证证书复印件</w:t>
                  </w:r>
                </w:p>
              </w:tc>
            </w:tr>
            <w:tr>
              <w:tc>
                <w:tcPr>
                  <w:tcW w:type="dxa" w:w="1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15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LED黑板灯</w:t>
                  </w:r>
                </w:p>
              </w:tc>
              <w:tc>
                <w:tcPr>
                  <w:tcW w:type="dxa" w:w="1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144个</w:t>
                  </w: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1、LED黑板灯采用一体式防眩结构，灯具的表面平整、无凹陷、无毛刺，焊缝无透光现象；</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2、LED黑板灯色温（或相关色温）满足3300-5500K；</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3、LED黑板灯显色指数满足Ra≥98，R9≥95；</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4、LED黑板灯满足功率：36W±2W，功率因数：≥0.98；</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、LED黑板灯光效（或灯具效能）满足：≥</w:t>
                  </w:r>
                  <w:r>
                    <w:rPr>
                      <w:rFonts w:ascii="仿宋_GB2312" w:hAnsi="仿宋_GB2312" w:cs="仿宋_GB2312" w:eastAsia="仿宋_GB2312"/>
                      <w:sz w:val="21"/>
                      <w:color w:val="000000"/>
                    </w:rPr>
                    <w:t>95</w:t>
                  </w:r>
                  <w:r>
                    <w:rPr>
                      <w:rFonts w:ascii="仿宋_GB2312" w:hAnsi="仿宋_GB2312" w:cs="仿宋_GB2312" w:eastAsia="仿宋_GB2312"/>
                      <w:sz w:val="21"/>
                      <w:color w:val="000000"/>
                    </w:rPr>
                    <w:t>lm/W；</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、LED黑板灯色容差≤</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LED</w:t>
                  </w:r>
                  <w:r>
                    <w:rPr>
                      <w:rFonts w:ascii="仿宋_GB2312" w:hAnsi="仿宋_GB2312" w:cs="仿宋_GB2312" w:eastAsia="仿宋_GB2312"/>
                      <w:sz w:val="21"/>
                      <w:color w:val="000000"/>
                    </w:rPr>
                    <w:t>黑板灯正常燃点</w:t>
                  </w:r>
                  <w:r>
                    <w:rPr>
                      <w:rFonts w:ascii="仿宋_GB2312" w:hAnsi="仿宋_GB2312" w:cs="仿宋_GB2312" w:eastAsia="仿宋_GB2312"/>
                      <w:sz w:val="21"/>
                      <w:color w:val="000000"/>
                    </w:rPr>
                    <w:t>1</w:t>
                  </w:r>
                  <w:r>
                    <w:rPr>
                      <w:rFonts w:ascii="仿宋_GB2312" w:hAnsi="仿宋_GB2312" w:cs="仿宋_GB2312" w:eastAsia="仿宋_GB2312"/>
                      <w:sz w:val="21"/>
                      <w:color w:val="000000"/>
                    </w:rPr>
                    <w:t>0000小时或以上时间光通量维持率≥</w:t>
                  </w:r>
                  <w:r>
                    <w:rPr>
                      <w:rFonts w:ascii="仿宋_GB2312" w:hAnsi="仿宋_GB2312" w:cs="仿宋_GB2312" w:eastAsia="仿宋_GB2312"/>
                      <w:sz w:val="21"/>
                      <w:color w:val="000000"/>
                    </w:rPr>
                    <w:t>98%</w:t>
                  </w:r>
                </w:p>
              </w:tc>
            </w:tr>
            <w:tr>
              <w:tc>
                <w:tcPr>
                  <w:tcW w:type="dxa" w:w="141"/>
                  <w:vMerge/>
                  <w:tcBorders>
                    <w:top w:val="single" w:color="000000" w:sz="4"/>
                    <w:left w:val="single" w:color="000000" w:sz="4"/>
                    <w:bottom w:val="single" w:color="000000" w:sz="4"/>
                    <w:right w:val="single" w:color="000000" w:sz="4"/>
                  </w:tcBorders>
                </w:tcPr>
                <w:p/>
              </w:tc>
              <w:tc>
                <w:tcPr>
                  <w:tcW w:type="dxa" w:w="150"/>
                  <w:vMerge/>
                  <w:tcBorders>
                    <w:top w:val="single" w:color="000000" w:sz="4"/>
                    <w:left w:val="single" w:color="000000" w:sz="4"/>
                    <w:bottom w:val="single" w:color="000000" w:sz="4"/>
                    <w:right w:val="single" w:color="000000" w:sz="4"/>
                  </w:tcBorders>
                </w:tcPr>
                <w:p/>
              </w:tc>
              <w:tc>
                <w:tcPr>
                  <w:tcW w:type="dxa" w:w="173"/>
                  <w:vMerge/>
                  <w:tcBorders>
                    <w:top w:val="single" w:color="000000" w:sz="4"/>
                    <w:left w:val="single" w:color="000000" w:sz="4"/>
                    <w:bottom w:val="single" w:color="000000" w:sz="4"/>
                    <w:right w:val="single" w:color="000000" w:sz="4"/>
                  </w:tcBorders>
                </w:tcPr>
                <w:p/>
              </w:tc>
              <w:tc>
                <w:tcPr>
                  <w:tcW w:type="dxa" w:w="208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注：产品要出具国家相关机构认证的CCC认证和节能认证证书复印件</w:t>
                  </w:r>
                </w:p>
              </w:tc>
            </w:tr>
          </w:tbl>
          <w:p>
            <w:pPr>
              <w:pStyle w:val="null3"/>
            </w:pPr>
            <w:r>
              <w:rPr>
                <w:rFonts w:ascii="仿宋_GB2312" w:hAnsi="仿宋_GB2312" w:cs="仿宋_GB2312" w:eastAsia="仿宋_GB2312"/>
              </w:rPr>
              <w:t>备注：1.质保期：2年。2.本次招标包含现有的旧灯具拆除以及新灯具的采购及安装（包含安装时所需要的辅材）。</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白水县仓颉中学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所有货物安装调试完毕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经检测合格并通过采购人验收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符合国家和行业制定的相应的标准和规范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1.供应商缴纳保证金时请备注：ZBZB-2026-2808保证金。 2.（1）为保证项目存档使用供应商须提交纸质响应文件正 本壹份、副本贰份。（2）纸质响应文件正、副本分别胶装递交，递交截止时间：开标后2个工作日之内（联系人：李工；联 系电话：029-85578186-819；地址：西安市雁塔区朱雀大街南段69号长丰园三区5号楼9层 。）（3）若电子响应文件与 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法定代表人授权书（附法定代表人身份证复印件）及被授权人身份证复印件（法定代表人直接参加投标须出具法定代表人证明书及法定代表人身份证复印件）。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提供2023年或2024年的财务审计报告（成立时间至提交投标文件截止时间不足一年的可提供成立后任意时段的资产负债表）；或其基本存款账户开户银行出具开标前半年内的资信证明。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提供2025年1月至今已缴存的至少三个月的社会保障资金缴存单据或社保机构开具的社会保险参保缴费情况证明，依法不需要缴纳社会保障资金的单位应提供相关证明材料。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供应商未被“信用中国（中国执行信息公开网）列为失信被执行人、重大税收违法失信主体，未被中国政府采购网（www.ccgp.gov.cn）列入政府采购严重违法失信行为记录名单。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须提供投标保证金交纳凭证（银行汇（存）款回执单）或投标担保函，复印件须加盖投标人公章。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本项目专门面向中小企业采购项目，需提供中小企业声明函。</w:t>
            </w:r>
          </w:p>
        </w:tc>
        <w:tc>
          <w:tcPr>
            <w:tcW w:type="dxa" w:w="1661"/>
          </w:tcPr>
          <w:p>
            <w:pPr>
              <w:pStyle w:val="null3"/>
            </w:pPr>
            <w:r>
              <w:rPr>
                <w:rFonts w:ascii="仿宋_GB2312" w:hAnsi="仿宋_GB2312" w:cs="仿宋_GB2312" w:eastAsia="仿宋_GB2312"/>
              </w:rPr>
              <w:t>中小企业声明函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本项目不接受联合体投标（提供声明函）。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 行的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投标有效期是否满足投标最低要求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投标报价是否唯一有效的或投标报价是否超过采购预算</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是否存在其他不符合法律法规等情形</w:t>
            </w:r>
          </w:p>
        </w:tc>
        <w:tc>
          <w:tcPr>
            <w:tcW w:type="dxa" w:w="1661"/>
          </w:tcPr>
          <w:p>
            <w:pPr>
              <w:pStyle w:val="null3"/>
            </w:pPr>
            <w:r>
              <w:rPr>
                <w:rFonts w:ascii="仿宋_GB2312" w:hAnsi="仿宋_GB2312" w:cs="仿宋_GB2312" w:eastAsia="仿宋_GB2312"/>
              </w:rPr>
              <w:t>开标一览表 技术方案.docx 业绩.docx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1、依据各供应商所投产品与招标文件技术参数的响应程度打分，共有14项，每有一项符合，得2分，满分28分。 注：供应商需按招标文件要求的证明材料类型提供相应的证明材料，其余项未做要求的，可提供包括但不限于检测报告、技术白皮书、官网截图等予以证明。</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供货计划</w:t>
            </w:r>
          </w:p>
        </w:tc>
        <w:tc>
          <w:tcPr>
            <w:tcW w:type="dxa" w:w="2492"/>
          </w:tcPr>
          <w:p>
            <w:pPr>
              <w:pStyle w:val="null3"/>
            </w:pPr>
            <w:r>
              <w:rPr>
                <w:rFonts w:ascii="仿宋_GB2312" w:hAnsi="仿宋_GB2312" w:cs="仿宋_GB2312" w:eastAsia="仿宋_GB2312"/>
              </w:rPr>
              <w:t>提供供货组织计划，包括：①组织机构（含负责人、专职安全员）；② 交货批次计划；③ 现场成品保护；④ 货物验收组织计划。方案完整，具有针对性，符合项目现场实际（学校），得8分；方案有欠缺待完善，得5分；方案混乱，无针对性，得2分；不提供的0分。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提供安装调试方案，包括：①组织机构（含负责人、专职安全员、安装人员）；② 安装调试进度计划；③ 安装过程中实施人员安全措施及其他现场安全措施；④ 质量保证措施；⑤ 环境保护措施。方案完整方案具有针对性，符合项目现场实际（学校），得8分；方案有欠缺待完善，得5分；方案混乱，无针对性，得2分；不提供的0分。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安装辅材</w:t>
            </w:r>
          </w:p>
        </w:tc>
        <w:tc>
          <w:tcPr>
            <w:tcW w:type="dxa" w:w="2492"/>
          </w:tcPr>
          <w:p>
            <w:pPr>
              <w:pStyle w:val="null3"/>
            </w:pPr>
            <w:r>
              <w:rPr>
                <w:rFonts w:ascii="仿宋_GB2312" w:hAnsi="仿宋_GB2312" w:cs="仿宋_GB2312" w:eastAsia="仿宋_GB2312"/>
              </w:rPr>
              <w:t>提供主要辅材的品牌，根据辅材的规格、质量情况进行评审，按其响应程度计0~5分。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货物验收</w:t>
            </w:r>
          </w:p>
        </w:tc>
        <w:tc>
          <w:tcPr>
            <w:tcW w:type="dxa" w:w="2492"/>
          </w:tcPr>
          <w:p>
            <w:pPr>
              <w:pStyle w:val="null3"/>
            </w:pPr>
            <w:r>
              <w:rPr>
                <w:rFonts w:ascii="仿宋_GB2312" w:hAnsi="仿宋_GB2312" w:cs="仿宋_GB2312" w:eastAsia="仿宋_GB2312"/>
              </w:rPr>
              <w:t>承诺到货后，甲乙双方共同随机抽取一套产品送第三方检测机构按采购文件技术要求进行检测（提供承诺书），得3分；否则不得分。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来源渠道合法证明文件</w:t>
            </w:r>
          </w:p>
        </w:tc>
        <w:tc>
          <w:tcPr>
            <w:tcW w:type="dxa" w:w="2492"/>
          </w:tcPr>
          <w:p>
            <w:pPr>
              <w:pStyle w:val="null3"/>
            </w:pPr>
            <w:r>
              <w:rPr>
                <w:rFonts w:ascii="仿宋_GB2312" w:hAnsi="仿宋_GB2312" w:cs="仿宋_GB2312" w:eastAsia="仿宋_GB2312"/>
              </w:rPr>
              <w:t>提供采购内容中货物来源渠道合法证明文件（包括但不限于销售协议、代理协议、原厂授权等），教室灯、黑板灯全部提供，得6分，少一类产品，扣3分。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或产品生产厂家具有售后服务能力：（1）上门服务保修，一切费用由成交人承担；（2）响应时间：接到故障通知，供应商应30分钟之内做出电话响应，3小时服务人员到达现场排除故障，并随时接受使用人员的咨询；（3）承诺质保期内免费更换。方案具有针对性，符合项目现场实际（学校），得6分；方案有欠缺待完善，得3分；方案混乱，无针对性，得1分；不提供的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2023年1月1日之日起（以合同签署日期为准）提供供应商的同类项目的供货业绩证明（完整合同复印件加盖单位公章）；每提供一份有效业绩得2分，最高得6分。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满足招标文件要求且最后报价最低的供应商的价格为基准价，其价格分为满分。其他供应商的价格分统一按照下列公式计算：报价得分=（基准价/投标报价）×30 备注：当评审小组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供应商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