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74C622">
      <w:pPr>
        <w:pStyle w:val="2"/>
        <w:spacing w:before="0" w:after="0" w:line="48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0" w:name="_Toc32013"/>
      <w:r>
        <w:rPr>
          <w:rFonts w:hint="eastAsia" w:ascii="宋体" w:hAnsi="宋体" w:eastAsia="宋体" w:cs="宋体"/>
          <w:b/>
          <w:bCs w:val="0"/>
          <w:color w:val="auto"/>
          <w:kern w:val="2"/>
          <w:sz w:val="36"/>
          <w:szCs w:val="36"/>
          <w:highlight w:val="none"/>
          <w:lang w:val="en-US" w:eastAsia="zh-CN" w:bidi="ar-SA"/>
        </w:rPr>
        <w:t>第五章  合同条款</w:t>
      </w:r>
      <w:bookmarkEnd w:id="0"/>
    </w:p>
    <w:p w14:paraId="5F6D1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  <w:highlight w:val="none"/>
        </w:rPr>
      </w:pPr>
    </w:p>
    <w:p w14:paraId="4A944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val="en-US" w:eastAsia="zh-CN"/>
        </w:rPr>
      </w:pPr>
    </w:p>
    <w:p w14:paraId="21058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val="en-US" w:eastAsia="zh-CN"/>
        </w:rPr>
      </w:pPr>
    </w:p>
    <w:p w14:paraId="10457B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0"/>
        <w:jc w:val="center"/>
        <w:textAlignment w:val="auto"/>
        <w:outlineLvl w:val="1"/>
        <w:rPr>
          <w:rFonts w:hint="default" w:ascii="宋体" w:hAnsi="宋体" w:eastAsia="宋体" w:cs="宋体"/>
          <w:b/>
          <w:bCs/>
          <w:sz w:val="36"/>
          <w:szCs w:val="36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  <w:u w:val="single"/>
          <w:lang w:val="en-US" w:eastAsia="zh-CN"/>
        </w:rPr>
        <w:t>项目</w:t>
      </w:r>
      <w:r>
        <w:rPr>
          <w:rFonts w:hint="eastAsia" w:ascii="宋体" w:hAnsi="宋体" w:cs="宋体"/>
          <w:b/>
          <w:bCs/>
          <w:sz w:val="36"/>
          <w:szCs w:val="36"/>
          <w:highlight w:val="none"/>
          <w:u w:val="single"/>
          <w:lang w:val="en-US" w:eastAsia="zh-CN"/>
        </w:rPr>
        <w:t>名称</w:t>
      </w:r>
    </w:p>
    <w:p w14:paraId="04C7E59D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outlineLvl w:val="9"/>
        <w:rPr>
          <w:rFonts w:hint="eastAsia" w:ascii="宋体" w:hAnsi="宋体" w:eastAsia="宋体" w:cs="宋体"/>
          <w:color w:val="auto"/>
          <w:highlight w:val="none"/>
        </w:rPr>
      </w:pPr>
    </w:p>
    <w:p w14:paraId="61A61566">
      <w:pPr>
        <w:pStyle w:val="3"/>
        <w:rPr>
          <w:rFonts w:hint="eastAsia" w:ascii="宋体" w:hAnsi="宋体" w:eastAsia="宋体" w:cs="宋体"/>
          <w:highlight w:val="none"/>
        </w:rPr>
      </w:pPr>
    </w:p>
    <w:p w14:paraId="15BE326D">
      <w:pPr>
        <w:pageBreakBefore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1151A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val="en-US" w:eastAsia="zh-CN"/>
        </w:rPr>
        <w:t>（示范文本，最终已签订为准）</w:t>
      </w:r>
    </w:p>
    <w:p w14:paraId="29B92DDB">
      <w:pPr>
        <w:pageBreakBefore w:val="0"/>
        <w:kinsoku/>
        <w:wordWrap/>
        <w:overflowPunct/>
        <w:topLinePunct w:val="0"/>
        <w:autoSpaceDE/>
        <w:autoSpaceDN/>
        <w:bidi w:val="0"/>
        <w:ind w:firstLine="480"/>
        <w:textAlignment w:val="auto"/>
        <w:rPr>
          <w:rFonts w:hint="eastAsia" w:ascii="宋体" w:hAnsi="宋体" w:eastAsia="宋体" w:cs="宋体"/>
          <w:highlight w:val="none"/>
        </w:rPr>
      </w:pPr>
    </w:p>
    <w:p w14:paraId="587D9A1A">
      <w:pPr>
        <w:pageBreakBefore w:val="0"/>
        <w:kinsoku/>
        <w:wordWrap/>
        <w:overflowPunct/>
        <w:topLinePunct w:val="0"/>
        <w:autoSpaceDE/>
        <w:autoSpaceDN/>
        <w:bidi w:val="0"/>
        <w:ind w:firstLine="480"/>
        <w:textAlignment w:val="auto"/>
        <w:rPr>
          <w:rFonts w:hint="eastAsia" w:ascii="宋体" w:hAnsi="宋体" w:eastAsia="宋体" w:cs="宋体"/>
          <w:highlight w:val="none"/>
        </w:rPr>
      </w:pPr>
    </w:p>
    <w:p w14:paraId="7C34F312">
      <w:pPr>
        <w:pageBreakBefore w:val="0"/>
        <w:kinsoku/>
        <w:wordWrap/>
        <w:overflowPunct/>
        <w:topLinePunct w:val="0"/>
        <w:autoSpaceDE/>
        <w:autoSpaceDN/>
        <w:bidi w:val="0"/>
        <w:ind w:firstLine="480"/>
        <w:textAlignment w:val="auto"/>
        <w:rPr>
          <w:rFonts w:hint="eastAsia" w:ascii="宋体" w:hAnsi="宋体" w:eastAsia="宋体" w:cs="宋体"/>
          <w:highlight w:val="none"/>
        </w:rPr>
      </w:pPr>
    </w:p>
    <w:p w14:paraId="4C7BBDC2"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auto"/>
        <w:ind w:firstLine="480"/>
        <w:textAlignment w:val="auto"/>
        <w:rPr>
          <w:rFonts w:hint="eastAsia" w:ascii="宋体" w:hAnsi="宋体" w:eastAsia="宋体" w:cs="宋体"/>
          <w:highlight w:val="none"/>
        </w:rPr>
      </w:pPr>
    </w:p>
    <w:p w14:paraId="16C7B922">
      <w:pPr>
        <w:pStyle w:val="3"/>
        <w:rPr>
          <w:rFonts w:hint="eastAsia" w:ascii="宋体" w:hAnsi="宋体" w:eastAsia="宋体" w:cs="宋体"/>
          <w:highlight w:val="none"/>
        </w:rPr>
      </w:pPr>
    </w:p>
    <w:p w14:paraId="2C4B1E4E">
      <w:pPr>
        <w:rPr>
          <w:rFonts w:hint="eastAsia" w:ascii="宋体" w:hAnsi="宋体" w:eastAsia="宋体" w:cs="宋体"/>
          <w:highlight w:val="none"/>
        </w:rPr>
      </w:pPr>
    </w:p>
    <w:p w14:paraId="6795B98F">
      <w:pPr>
        <w:pStyle w:val="3"/>
        <w:rPr>
          <w:rFonts w:hint="eastAsia"/>
          <w:highlight w:val="none"/>
        </w:rPr>
      </w:pPr>
    </w:p>
    <w:p w14:paraId="67F236C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outlineLvl w:val="9"/>
        <w:rPr>
          <w:rFonts w:hint="eastAsia" w:ascii="宋体" w:hAnsi="宋体" w:eastAsia="宋体" w:cs="宋体"/>
          <w:highlight w:val="none"/>
        </w:rPr>
      </w:pPr>
    </w:p>
    <w:p w14:paraId="044EB8F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宋体" w:hAnsi="宋体" w:eastAsia="宋体" w:cs="宋体"/>
          <w:highlight w:val="none"/>
        </w:rPr>
      </w:pPr>
    </w:p>
    <w:p w14:paraId="7C28E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firstLine="964" w:firstLineChars="300"/>
        <w:jc w:val="left"/>
        <w:textAlignment w:val="auto"/>
        <w:rPr>
          <w:rFonts w:hint="eastAsia" w:ascii="宋体" w:hAnsi="宋体" w:eastAsia="宋体" w:cs="宋体"/>
          <w:b/>
          <w:kern w:val="0"/>
          <w:sz w:val="32"/>
          <w:szCs w:val="32"/>
          <w:highlight w:val="none"/>
          <w:u w:val="single"/>
        </w:rPr>
      </w:pPr>
      <w:r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  <w:t>甲方：</w:t>
      </w:r>
      <w:r>
        <w:rPr>
          <w:rFonts w:hint="eastAsia" w:ascii="宋体" w:hAnsi="宋体" w:eastAsia="宋体" w:cs="宋体"/>
          <w:b/>
          <w:kern w:val="0"/>
          <w:sz w:val="32"/>
          <w:szCs w:val="32"/>
          <w:highlight w:val="none"/>
          <w:u w:val="single"/>
        </w:rPr>
        <w:t xml:space="preserve">                              </w:t>
      </w:r>
    </w:p>
    <w:p w14:paraId="36A12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firstLine="964" w:firstLineChars="300"/>
        <w:jc w:val="left"/>
        <w:textAlignment w:val="auto"/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  <w:t>乙方：</w:t>
      </w:r>
      <w:r>
        <w:rPr>
          <w:rFonts w:hint="eastAsia" w:ascii="宋体" w:hAnsi="宋体" w:eastAsia="宋体" w:cs="宋体"/>
          <w:b/>
          <w:kern w:val="0"/>
          <w:sz w:val="32"/>
          <w:szCs w:val="32"/>
          <w:highlight w:val="none"/>
          <w:u w:val="single"/>
        </w:rPr>
        <w:t xml:space="preserve">                              </w:t>
      </w:r>
    </w:p>
    <w:p w14:paraId="6AC21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1487" w:leftChars="708" w:firstLine="1606" w:firstLineChars="500"/>
        <w:jc w:val="left"/>
        <w:textAlignment w:val="auto"/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</w:pPr>
    </w:p>
    <w:p w14:paraId="74869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1487" w:leftChars="708" w:firstLine="1606" w:firstLineChars="500"/>
        <w:jc w:val="left"/>
        <w:textAlignment w:val="auto"/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  <w:t>二〇二</w:t>
      </w:r>
      <w:r>
        <w:rPr>
          <w:rFonts w:hint="eastAsia" w:ascii="宋体" w:hAnsi="宋体" w:cs="宋体"/>
          <w:b/>
          <w:kern w:val="0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  <w:t>年</w:t>
      </w:r>
      <w:r>
        <w:rPr>
          <w:rFonts w:hint="eastAsia" w:ascii="宋体" w:hAnsi="宋体" w:eastAsia="宋体" w:cs="宋体"/>
          <w:b/>
          <w:kern w:val="0"/>
          <w:sz w:val="32"/>
          <w:szCs w:val="32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  <w:t>月</w:t>
      </w:r>
    </w:p>
    <w:p w14:paraId="018D4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</w:p>
    <w:p w14:paraId="503E7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943CE15">
      <w:pPr>
        <w:pStyle w:val="4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0EC3E1AD">
      <w:pPr>
        <w:pStyle w:val="4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7A2CD4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40B1D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4BC5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F64E9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甲方：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p w14:paraId="4E642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乙方：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</w:t>
      </w:r>
    </w:p>
    <w:p w14:paraId="593041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为了确保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白水县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消防救援大队原材料配送服务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工作的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顺利实施，甲、乙双方在平等、自愿、公平、诚信的基础上，根据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白水县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消防救援大队原材料配送服务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采购</w:t>
      </w:r>
      <w:bookmarkStart w:id="1" w:name="_GoBack"/>
      <w:bookmarkEnd w:id="1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项目供货合同相关要求，签订本合同。</w:t>
      </w:r>
    </w:p>
    <w:p w14:paraId="2EACC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第一条 货物名称、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规格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和数量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2"/>
        <w:gridCol w:w="1069"/>
        <w:gridCol w:w="1875"/>
        <w:gridCol w:w="2137"/>
        <w:gridCol w:w="1896"/>
      </w:tblGrid>
      <w:tr w14:paraId="71CBA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05" w:type="pct"/>
            <w:noWrap w:val="0"/>
            <w:vAlign w:val="center"/>
          </w:tcPr>
          <w:p w14:paraId="76C26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627" w:type="pct"/>
            <w:noWrap w:val="0"/>
            <w:vAlign w:val="center"/>
          </w:tcPr>
          <w:p w14:paraId="377A26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规格</w:t>
            </w:r>
          </w:p>
        </w:tc>
        <w:tc>
          <w:tcPr>
            <w:tcW w:w="1100" w:type="pct"/>
            <w:noWrap w:val="0"/>
            <w:vAlign w:val="center"/>
          </w:tcPr>
          <w:p w14:paraId="222AF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1254" w:type="pct"/>
            <w:noWrap w:val="0"/>
            <w:vAlign w:val="center"/>
          </w:tcPr>
          <w:p w14:paraId="5BD7E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质量标准</w:t>
            </w:r>
          </w:p>
        </w:tc>
        <w:tc>
          <w:tcPr>
            <w:tcW w:w="1112" w:type="pct"/>
            <w:noWrap w:val="0"/>
            <w:vAlign w:val="center"/>
          </w:tcPr>
          <w:p w14:paraId="1DFCE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</w:tr>
      <w:tr w14:paraId="3557F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05" w:type="pct"/>
            <w:noWrap w:val="0"/>
            <w:vAlign w:val="center"/>
          </w:tcPr>
          <w:p w14:paraId="7FC353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47285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0" w:type="pct"/>
            <w:noWrap w:val="0"/>
            <w:vAlign w:val="center"/>
          </w:tcPr>
          <w:p w14:paraId="4D6F21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4" w:type="pct"/>
            <w:noWrap w:val="0"/>
            <w:vAlign w:val="center"/>
          </w:tcPr>
          <w:p w14:paraId="2A874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2" w:type="pct"/>
            <w:noWrap w:val="0"/>
            <w:vAlign w:val="center"/>
          </w:tcPr>
          <w:p w14:paraId="0C889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D9B9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05" w:type="pct"/>
            <w:noWrap w:val="0"/>
            <w:vAlign w:val="center"/>
          </w:tcPr>
          <w:p w14:paraId="04CE5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0902D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0" w:type="pct"/>
            <w:noWrap w:val="0"/>
            <w:vAlign w:val="center"/>
          </w:tcPr>
          <w:p w14:paraId="28185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4" w:type="pct"/>
            <w:noWrap w:val="0"/>
            <w:vAlign w:val="center"/>
          </w:tcPr>
          <w:p w14:paraId="657FE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2" w:type="pct"/>
            <w:noWrap w:val="0"/>
            <w:vAlign w:val="center"/>
          </w:tcPr>
          <w:p w14:paraId="05DAAF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1B35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05" w:type="pct"/>
            <w:noWrap w:val="0"/>
            <w:vAlign w:val="center"/>
          </w:tcPr>
          <w:p w14:paraId="72D62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3BA3A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0" w:type="pct"/>
            <w:noWrap w:val="0"/>
            <w:vAlign w:val="center"/>
          </w:tcPr>
          <w:p w14:paraId="3CAA1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54" w:type="pct"/>
            <w:noWrap w:val="0"/>
            <w:vAlign w:val="center"/>
          </w:tcPr>
          <w:p w14:paraId="248C8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2" w:type="pct"/>
            <w:noWrap w:val="0"/>
            <w:vAlign w:val="center"/>
          </w:tcPr>
          <w:p w14:paraId="5604D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5744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05" w:type="pct"/>
            <w:noWrap w:val="0"/>
            <w:vAlign w:val="center"/>
          </w:tcPr>
          <w:p w14:paraId="4F563A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380CDD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0" w:type="pct"/>
            <w:noWrap w:val="0"/>
            <w:vAlign w:val="center"/>
          </w:tcPr>
          <w:p w14:paraId="465D4D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4" w:type="pct"/>
            <w:noWrap w:val="0"/>
            <w:vAlign w:val="center"/>
          </w:tcPr>
          <w:p w14:paraId="212EA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2" w:type="pct"/>
            <w:noWrap w:val="0"/>
            <w:vAlign w:val="center"/>
          </w:tcPr>
          <w:p w14:paraId="3656C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2B26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05" w:type="pct"/>
            <w:noWrap w:val="0"/>
            <w:vAlign w:val="center"/>
          </w:tcPr>
          <w:p w14:paraId="0F8FF8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7" w:type="pct"/>
            <w:noWrap w:val="0"/>
            <w:vAlign w:val="center"/>
          </w:tcPr>
          <w:p w14:paraId="15332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0" w:type="pct"/>
            <w:noWrap w:val="0"/>
            <w:vAlign w:val="center"/>
          </w:tcPr>
          <w:p w14:paraId="678AD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54" w:type="pct"/>
            <w:noWrap w:val="0"/>
            <w:vAlign w:val="center"/>
          </w:tcPr>
          <w:p w14:paraId="3D653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2" w:type="pct"/>
            <w:noWrap w:val="0"/>
            <w:vAlign w:val="center"/>
          </w:tcPr>
          <w:p w14:paraId="2D8F2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C7BB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05" w:type="pct"/>
            <w:noWrap w:val="0"/>
            <w:vAlign w:val="center"/>
          </w:tcPr>
          <w:p w14:paraId="1DB93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7" w:type="pct"/>
            <w:noWrap w:val="0"/>
            <w:vAlign w:val="center"/>
          </w:tcPr>
          <w:p w14:paraId="463F6A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0" w:type="pct"/>
            <w:noWrap w:val="0"/>
            <w:vAlign w:val="center"/>
          </w:tcPr>
          <w:p w14:paraId="18652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54" w:type="pct"/>
            <w:noWrap w:val="0"/>
            <w:vAlign w:val="center"/>
          </w:tcPr>
          <w:p w14:paraId="663F9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2" w:type="pct"/>
            <w:noWrap w:val="0"/>
            <w:vAlign w:val="center"/>
          </w:tcPr>
          <w:p w14:paraId="6E056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0BBBE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第二条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货物的质量及验收方式</w:t>
      </w:r>
    </w:p>
    <w:p w14:paraId="54E15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货物质量：供应的所有货物，国家有关部门有明确规定的，按规定标准确定产品的等级和质量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每批次供应的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食品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必须有产品质量检验报告原件或复印件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加盖红色公章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23378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验收方式：乙方供应的货物到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，先提交供应货物清单（货物名称、数量、生产日期）、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货物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的质量检验合格证书原件或加盖公司红色印章的复印件，经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相关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管理人员现场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验收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验收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合格后，签字入库。乙方所供货物现场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验收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不合格，该批次产品不得用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于“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产品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采购”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，乙方必须立即重新组织货源供应，但不得影响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甲方使用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27250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第三条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货物价格、货款结算方式</w:t>
      </w:r>
    </w:p>
    <w:p w14:paraId="2D110E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货物价格：按照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“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报价应是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规定范围内全部内容的合理报价，具体包括：运费（县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eastAsia="zh-CN"/>
        </w:rPr>
        <w:t>区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内配送费用）、税金、其它杂费（货物装卸费、食品库房租赁费、电费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）及产品政策性调价等所有费用；合同价款为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eastAsia="zh-CN"/>
        </w:rPr>
        <w:t>中标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人报出的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单价价格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，报价中已含市场风险及食品调价因素，合同期内不得因市场变化而调整供应价格和采购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价约定，所供货物价格为固定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价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none"/>
          <w:lang w:val="en-US" w:eastAsia="zh-CN"/>
        </w:rPr>
        <w:t>。</w:t>
      </w:r>
    </w:p>
    <w:p w14:paraId="3DB2D93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第四条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货款结算方式：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按照成交单价及配送数量进行结算，总价不超过本项目采购预算。</w:t>
      </w:r>
    </w:p>
    <w:p w14:paraId="4CE5BE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第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五条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供货期限、地点、方式</w:t>
      </w:r>
    </w:p>
    <w:p w14:paraId="547B0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供货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期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7A918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供货地点：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43DD5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供货方式：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</w:p>
    <w:p w14:paraId="0E342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第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双方的权利和义务。</w:t>
      </w:r>
    </w:p>
    <w:p w14:paraId="43D18E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（一）甲方的权利与义务：</w:t>
      </w:r>
    </w:p>
    <w:p w14:paraId="608F7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1、甲方的权利：</w:t>
      </w:r>
    </w:p>
    <w:p w14:paraId="0A2F5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（1）甲方有权对乙方提供的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产品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进行检验，有权拒收不符合规定或达不到标准的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产品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，对乙方供货过程进行监督。 </w:t>
      </w:r>
    </w:p>
    <w:p w14:paraId="33541A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（2）甲方有权向乙方提出变更供货地点。</w:t>
      </w:r>
    </w:p>
    <w:p w14:paraId="4E8A58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（3）甲方有权向乙方索取必须的产品检验合格证明资料。</w:t>
      </w:r>
    </w:p>
    <w:p w14:paraId="10E8D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（4）合同期内乙方提出有违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或采购规定的要求，甲方有权终止合同。</w:t>
      </w:r>
    </w:p>
    <w:p w14:paraId="0A772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2、甲方的义务。</w:t>
      </w:r>
    </w:p>
    <w:p w14:paraId="4F9FAB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合同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约定时限向乙方支付货款。 </w:t>
      </w:r>
    </w:p>
    <w:p w14:paraId="1DAC1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（2）负责与乙方联系并协调配送货过程中有关事宜。</w:t>
      </w:r>
    </w:p>
    <w:p w14:paraId="34798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（二）乙方的权利和义务：</w:t>
      </w:r>
    </w:p>
    <w:p w14:paraId="057E0A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1、乙方的权利：</w:t>
      </w:r>
    </w:p>
    <w:p w14:paraId="24E56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（1）在约定时限内向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收取货款。</w:t>
      </w:r>
    </w:p>
    <w:p w14:paraId="61212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（2）乙方提供结算资料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后甲方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超过约定支付货款时限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，乙方有权向甲方投诉或采取法律措施追收，但不得影响学生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加餐食品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供应。</w:t>
      </w:r>
    </w:p>
    <w:p w14:paraId="00AA7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2、乙方的义务。</w:t>
      </w:r>
    </w:p>
    <w:p w14:paraId="28FBC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（1）根据甲方的需要在约定的时限内，将货物运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达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甲方指定地点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，按时向收货人发出货物到达的通知，提交食品质量安全相关资料，并接受现场质检，检验合格后按照规定分类储存，建立台账，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并有完整的留样台账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。对配送的货物要负责安全，保证货物无短缺、无损坏，乙方将货物送往甲方指定的目的地，由收货单位签字盖章确认。接收人所盖印章应为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招标人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的公章或收货专用章，乙方凭甲方认可的配送验收结算单进行结算。收货时如发现食品质量、型号、规格不符等问题，乙方应无条件接受退货。</w:t>
      </w:r>
    </w:p>
    <w:p w14:paraId="4EEA4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（2）乙方必须无条件履行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服务保障及承诺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事项。</w:t>
      </w:r>
    </w:p>
    <w:p w14:paraId="45BA5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第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违约责任 </w:t>
      </w:r>
    </w:p>
    <w:p w14:paraId="63E0C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（一）甲方责任。不按时与乙方结算货款，每超一天偿付给乙方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结算费用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%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的违约金。</w:t>
      </w:r>
    </w:p>
    <w:p w14:paraId="0EB84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（二）乙方责任 </w:t>
      </w:r>
    </w:p>
    <w:p w14:paraId="06177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乙方负责供应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产品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的质量、卫生安全。配送不符合国家卫生安全和质量安全标准的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产品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产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品，造成中毒事件或其他食源性疾病发生，将依照有关法律规定进行严肃处理并取消其供货资格。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产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品出现质量问题（质量问题包括：变质、霉变、污染、劣质、以次充好的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产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品、生产日期不明、保质期不明等），由乙方负责赔偿因此引发的一切损失，承担由此导致的一切后果（一切损失和后果包括：实物、人力、财力及由此引发的一系列损失和遗留问题）。</w:t>
      </w:r>
    </w:p>
    <w:p w14:paraId="3ED09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乙方负责按时将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产品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配送到规定配送点，如送货到达延误，影响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甲方使用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，应向甲方支付当月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产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品总金额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%的违约金。货物在运输途中，除不可抗力事故外，造成的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产品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破损、遗失、短缺等损失，由乙方自行负责。因以上原因造成甲方违约或其他损失后，由乙方负责赔偿。乙方有责任为甲方提供优质服务。</w:t>
      </w:r>
    </w:p>
    <w:p w14:paraId="362904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第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八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不可抗力</w:t>
      </w:r>
    </w:p>
    <w:p w14:paraId="12EAC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合同执行期内，如发生自然灾害或其它不可抗力的原因，致使当事人一方不能履行或不能完全履行合同的，应向对方当事人通报理由，经有关主管部门证实后，不负违约责任，并允许变更或解除合同。</w:t>
      </w:r>
    </w:p>
    <w:p w14:paraId="11764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第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解决合同纠纷的方式</w:t>
      </w:r>
    </w:p>
    <w:p w14:paraId="4122A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执行本合同发生争议，由当事人双方协商解决。协商不成，可向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招标人所在地行政主管部门投诉或依法向招标人所在地法院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起诉。</w:t>
      </w:r>
    </w:p>
    <w:p w14:paraId="53ADE0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第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其他</w:t>
      </w:r>
    </w:p>
    <w:p w14:paraId="3EE8C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一）当事人一方要求变更或解除合同，应提前一个月通知对方，并采用书面形式由当事人双方达成协议。接到要求变更或解除合同通知的一方，应在20天之内做出答复（当事人另有约定的，从约定），逾期不答复的，视为默认。</w:t>
      </w:r>
    </w:p>
    <w:p w14:paraId="5A744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）本合同如有未尽事宜，须经甲乙双方共同协商，做出补充规定，补充规定与本合同具有同等效力。</w:t>
      </w:r>
    </w:p>
    <w:p w14:paraId="185FE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）本合同一式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份，甲乙双方各执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份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491A1959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highlight w:val="none"/>
        </w:rPr>
      </w:pPr>
    </w:p>
    <w:p w14:paraId="40F48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招标人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供应商：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      </w:t>
      </w:r>
    </w:p>
    <w:p w14:paraId="18508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地 址：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地  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</w:t>
      </w:r>
    </w:p>
    <w:p w14:paraId="1EFDAC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</w:t>
      </w:r>
    </w:p>
    <w:p w14:paraId="31C66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法定代表人或其授权                   法定代表人或其授权 </w:t>
      </w:r>
    </w:p>
    <w:p w14:paraId="00020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       </w:t>
      </w:r>
    </w:p>
    <w:p w14:paraId="29D58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</w:t>
      </w:r>
    </w:p>
    <w:p w14:paraId="182DEB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</w:t>
      </w:r>
    </w:p>
    <w:p w14:paraId="612C7B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</w:t>
      </w:r>
    </w:p>
    <w:p w14:paraId="2E8186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</w:t>
      </w:r>
    </w:p>
    <w:p w14:paraId="1876A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</w:t>
      </w:r>
    </w:p>
    <w:p w14:paraId="16B19396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outlineLvl w:val="9"/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</w:rPr>
      </w:pPr>
    </w:p>
    <w:p w14:paraId="1564B0E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宋体" w:hAnsi="宋体" w:eastAsia="宋体" w:cs="宋体"/>
          <w:highlight w:val="none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p w14:paraId="18189B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E7052"/>
    <w:rsid w:val="04BE7052"/>
    <w:rsid w:val="64711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widowControl/>
      <w:jc w:val="left"/>
    </w:pPr>
    <w:rPr>
      <w:kern w:val="0"/>
      <w:sz w:val="24"/>
      <w:szCs w:val="20"/>
    </w:rPr>
  </w:style>
  <w:style w:type="paragraph" w:styleId="4">
    <w:name w:val="Body Text First Indent"/>
    <w:basedOn w:val="3"/>
    <w:next w:val="3"/>
    <w:unhideWhenUsed/>
    <w:qFormat/>
    <w:uiPriority w:val="99"/>
    <w:pPr>
      <w:ind w:firstLine="420" w:firstLineChars="100"/>
    </w:p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2059</Words>
  <Characters>2060</Characters>
  <Lines>0</Lines>
  <Paragraphs>0</Paragraphs>
  <TotalTime>0</TotalTime>
  <ScaleCrop>false</ScaleCrop>
  <LinksUpToDate>false</LinksUpToDate>
  <CharactersWithSpaces>2771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2025-12-30T02:48:00Z</dcterms:created>
  <dc:creator>超级刀刀贼</dc:creator>
  <cp:lastModifiedBy>超级刀刀贼</cp:lastModifiedBy>
  <dcterms:modified xsi:type="dcterms:W3CDTF">2026-01-29T07:31:15Z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21C2841317D84930859544D0468E6BF3_11</vt:lpwstr>
  </property>
  <property fmtid="{D5CDD505-2E9C-101B-9397-08002B2CF9AE}" pid="4" name="KSOTemplateDocerSaveRecord">
    <vt:lpwstr>eyJoZGlkIjoiOGRmMDkwZWRkOGYzYzY3OTJkMTI2NGE5MTYzNDEzMjYiLCJ1c2VySWQiOiIyNzk1NDI0NDcifQ==</vt:lpwstr>
  </property>
</Properties>
</file>