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版本号：ZCSP-白水县-2026-00029-00520260301001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林皋水库除险加固工程蓄水安全鉴定报告编制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ZCSP-白水县-2026-00029-005</w:t>
      </w:r>
      <w:r>
        <w:br/>
      </w:r>
      <w:r>
        <w:br/>
      </w:r>
      <w:r>
        <w:br/>
      </w:r>
    </w:p>
    <w:p>
      <w:pPr>
        <w:pStyle w:val="null3"/>
        <w:jc w:val="center"/>
        <w:outlineLvl w:val="2"/>
      </w:pPr>
      <w:r>
        <w:rPr>
          <w:rFonts w:ascii="仿宋_GB2312" w:hAnsi="仿宋_GB2312" w:cs="仿宋_GB2312" w:eastAsia="仿宋_GB2312"/>
          <w:sz w:val="28"/>
          <w:b/>
        </w:rPr>
        <w:t>白水县林皋水库灌溉管理处</w:t>
      </w:r>
    </w:p>
    <w:p>
      <w:pPr>
        <w:pStyle w:val="null3"/>
        <w:jc w:val="center"/>
        <w:outlineLvl w:val="2"/>
      </w:pPr>
      <w:r>
        <w:rPr>
          <w:rFonts w:ascii="仿宋_GB2312" w:hAnsi="仿宋_GB2312" w:cs="仿宋_GB2312" w:eastAsia="仿宋_GB2312"/>
          <w:sz w:val="28"/>
          <w:b/>
        </w:rPr>
        <w:t>鸿民国际工程（集团）有限公司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鸿民国际工程（集团）有限公司</w:t>
      </w:r>
      <w:r>
        <w:rPr>
          <w:rFonts w:ascii="仿宋_GB2312" w:hAnsi="仿宋_GB2312" w:cs="仿宋_GB2312" w:eastAsia="仿宋_GB2312"/>
        </w:rPr>
        <w:t>（以下简称“代理机构”）受</w:t>
      </w:r>
      <w:r>
        <w:rPr>
          <w:rFonts w:ascii="仿宋_GB2312" w:hAnsi="仿宋_GB2312" w:cs="仿宋_GB2312" w:eastAsia="仿宋_GB2312"/>
        </w:rPr>
        <w:t>白水县林皋水库灌溉管理处</w:t>
      </w:r>
      <w:r>
        <w:rPr>
          <w:rFonts w:ascii="仿宋_GB2312" w:hAnsi="仿宋_GB2312" w:cs="仿宋_GB2312" w:eastAsia="仿宋_GB2312"/>
        </w:rPr>
        <w:t>委托，拟对</w:t>
      </w:r>
      <w:r>
        <w:rPr>
          <w:rFonts w:ascii="仿宋_GB2312" w:hAnsi="仿宋_GB2312" w:cs="仿宋_GB2312" w:eastAsia="仿宋_GB2312"/>
        </w:rPr>
        <w:t>林皋水库除险加固工程蓄水安全鉴定报告编制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ZCSP-白水县-2026-00029-005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林皋水库除险加固工程蓄水安全鉴定报告编制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林皋水库，位于陕西省渭南市白水县西南部，始建于1966年2月，1971年12月完成建设。水库又名白水河水库，总库容3300万m3，控制流域面积330k㎡，兴利库容1900万m3。水库枢纽由大坝、溢洪道、放水洞组成。大坝为均质(黄土)土坝，坝顶长460m，宽6m，最大坝高33.3m。溢洪道最大流量423m3/s，放水洞最大流量31m3/s。林皋水库是一座以灌溉为主，兼有供水、防洪功能的多年调节水库。林皋水库除险加固工程主要内容为大坝加高培厚、左右坝肩防渗、溢洪道改造加固、放水洞加固及金属结构改造、改善管理设施。本次采购内容为林皋水库除险加固工程蓄水安全鉴定报告编制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采购包1（林皋水库除险加固工程蓄水安全鉴定报告编制）：属于专门面向中小企业采购。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2、营业执照等主体资格证明文件：供应商提供有效存续的企业营业执照（含2024或2025年度报告）。</w:t>
      </w:r>
    </w:p>
    <w:p>
      <w:pPr>
        <w:pStyle w:val="null3"/>
      </w:pPr>
      <w:r>
        <w:rPr>
          <w:rFonts w:ascii="仿宋_GB2312" w:hAnsi="仿宋_GB2312" w:cs="仿宋_GB2312" w:eastAsia="仿宋_GB2312"/>
        </w:rPr>
        <w:t>3、供应商资格：供应商同时具备①工程勘察（岩土工程或水文地质勘察或工程测量）专业乙级及以上或工程勘察综合资质甲级；② 工程设计水利行业水库枢纽专业乙级及以上或工程设计水利行业乙级及以上或工程设计综合资质甲级；③ 通过全国投资项目在线审批监管平台备案，咨询范围含水利水电专业评估咨询或全过程咨询。</w:t>
      </w:r>
    </w:p>
    <w:p>
      <w:pPr>
        <w:pStyle w:val="null3"/>
      </w:pPr>
      <w:r>
        <w:rPr>
          <w:rFonts w:ascii="仿宋_GB2312" w:hAnsi="仿宋_GB2312" w:cs="仿宋_GB2312" w:eastAsia="仿宋_GB2312"/>
        </w:rPr>
        <w:t>4、项目负责人：项目负责人具备水利水电相关专业高级技术职称，并出具项目负责人在供应商单位本单位人员证明材料（提供近3个月内任意一个月的养老保险缴纳证明，退休返聘人员可以提供退休证及劳动合同复印件）。</w:t>
      </w:r>
    </w:p>
    <w:p>
      <w:pPr>
        <w:pStyle w:val="null3"/>
      </w:pPr>
      <w:r>
        <w:rPr>
          <w:rFonts w:ascii="仿宋_GB2312" w:hAnsi="仿宋_GB2312" w:cs="仿宋_GB2312" w:eastAsia="仿宋_GB2312"/>
        </w:rPr>
        <w:t>5、财务状况报告：供应商提供2024年度经审计的财务报告（包括“四表一注”，即资产负债表、利润表、现金流量表、所有者权益变动表及其附注，成立时间至提交响应文件截止时间不足一年的可提供成立后任意时段的资产负债表），或其提交响应文件截止时间前三个月内基本开户银行出具的资信证明，或信用担保机构出具的协商担保函，以上三种形式的资料提供任何一种即可。</w:t>
      </w:r>
    </w:p>
    <w:p>
      <w:pPr>
        <w:pStyle w:val="null3"/>
      </w:pPr>
      <w:r>
        <w:rPr>
          <w:rFonts w:ascii="仿宋_GB2312" w:hAnsi="仿宋_GB2312" w:cs="仿宋_GB2312" w:eastAsia="仿宋_GB2312"/>
        </w:rPr>
        <w:t>6、社保缴纳证明：供应商提供2025年7月1日至响应文件递交截止之日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7、税收缴纳证明：供应商提供2025年7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8、信用记录：供应商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9、控股管理关系：供应商提供直接控股和管理关系清单。若与其他供应商存在单位负责人为同一人或者存在直接控股、管理关系的，则磋商无效。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10、书面声明：供应商提供书面声明，包括声明具有履行合同所必需的设备和专业技术能力；未为本项目提供整体设计、规范编制或者项目管理、监理、检测等服务。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11、本合同包不接受联合体磋商、不允许分包：供应商提供《非联合体磋商不分包声明》。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白水县林皋水库灌溉管理处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白水县雷牙镇北井头村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赵友红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13992342813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鸿民国际工程（集团）有限公司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渭南市临渭区西四路林业大厦四层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党文丽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13259083638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开户名称：鸿民国际工程（集团）有限公司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银行账号：103311740136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人与采购代理机构依据“财库[2018]2号-财政部关于印发《政府采购代理机构管理暂行办法》的通知”第十五条规定，约定代理服务费由成交单位支付。成交单位在领取成交通知书前一次性付清。参照国家计委关于《招标代理服务收费管理暂行办法》（计价格〔2002〕1980号）、《国家发展改革委关于降低部分建设项目收费标准规范收费行为等有关问题的通知》（发改价格〔2011〕534号），以成交价为基数，按标准的100%收取。成交单位的代理服务费交纳信息：开户名称：鸿民国际工程（集团）有限公司渭南分公司 开户银行：中国建设银行股份有限公司渭南朝阳大街支行 账号：61050164500800000631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白水县林皋水库灌溉管理处</w:t>
      </w:r>
      <w:r>
        <w:rPr>
          <w:rFonts w:ascii="仿宋_GB2312" w:hAnsi="仿宋_GB2312" w:cs="仿宋_GB2312" w:eastAsia="仿宋_GB2312"/>
        </w:rPr>
        <w:t>和</w:t>
      </w:r>
      <w:r>
        <w:rPr>
          <w:rFonts w:ascii="仿宋_GB2312" w:hAnsi="仿宋_GB2312" w:cs="仿宋_GB2312" w:eastAsia="仿宋_GB2312"/>
        </w:rPr>
        <w:t>鸿民国际工程（集团）有限公司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白水县林皋水库灌溉管理处</w:t>
      </w:r>
      <w:r>
        <w:rPr>
          <w:rFonts w:ascii="仿宋_GB2312" w:hAnsi="仿宋_GB2312" w:cs="仿宋_GB2312" w:eastAsia="仿宋_GB2312"/>
        </w:rPr>
        <w:t>负责解释。除上述磋商文件内容，其他内容由</w:t>
      </w:r>
      <w:r>
        <w:rPr>
          <w:rFonts w:ascii="仿宋_GB2312" w:hAnsi="仿宋_GB2312" w:cs="仿宋_GB2312" w:eastAsia="仿宋_GB2312"/>
        </w:rPr>
        <w:t>鸿民国际工程（集团）有限公司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白水县林皋水库灌溉管理处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鸿民国际工程（集团）有限公司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1.验收依据：以本项目采购需求、合同条款以及国家、行业相关标准规范为依据。 2.验收内容： （1）提交的《林皋水库除险加固工程蓄水安全鉴定报告》是否内容完整、符合技术标准和采购需求。 （2）报告是否通过项目法人组织的专家审查，并取得明确的、同意下闸蓄水的鉴定结论或批复文件。 （3）《林皋水库除险加固工程蓄水安全鉴定报告》需通过蓄水验收。 （4）服务过程是否符合约定的时间节点和质量要求。 3.验收方式：由采购人组织验收，以蓄水验收主持单位出具的正式批复文件和最终提交的成果文件为主要方式。</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联系人：党文丽</w:t>
      </w:r>
    </w:p>
    <w:p>
      <w:pPr>
        <w:pStyle w:val="null3"/>
      </w:pPr>
      <w:r>
        <w:rPr>
          <w:rFonts w:ascii="仿宋_GB2312" w:hAnsi="仿宋_GB2312" w:cs="仿宋_GB2312" w:eastAsia="仿宋_GB2312"/>
        </w:rPr>
        <w:t>联系电话：13259083638</w:t>
      </w:r>
    </w:p>
    <w:p>
      <w:pPr>
        <w:pStyle w:val="null3"/>
      </w:pPr>
      <w:r>
        <w:rPr>
          <w:rFonts w:ascii="仿宋_GB2312" w:hAnsi="仿宋_GB2312" w:cs="仿宋_GB2312" w:eastAsia="仿宋_GB2312"/>
        </w:rPr>
        <w:t>地址：渭南市临渭区西四路林业大厦四层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林皋水库，位于陕西省渭南市白水县西南部，始建于1966年2月，1971年12月完成建设。水库又名白水河水库，总库容3300万m3，控制流域面积330k㎡，兴利库容1900万m3。水库枢纽由大坝、溢洪道、放水洞组成。大坝为均质(黄土)土坝，坝顶长460m，宽6m，最大坝高33.3m。溢洪道最大流量423m3/s，放水洞最大流量31m3/s。林皋水库是一座以灌溉为主，兼有供水、防洪功能的多年调节水库。 林皋水库除险加固工程主要内容为大坝加高培厚、左右坝肩防渗、溢洪道改造加固、放水洞加固及金属结构改造、改善管理设施。 本次采购内容为林皋水库除险加固工程蓄水安全鉴定报告编制服务。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 林皋水库除险加固工程蓄水安全鉴定报告编制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 林皋水库除险加固工程蓄水安全鉴定报告编制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rPr>
              <w:t>一、技术标准</w:t>
            </w:r>
          </w:p>
          <w:p>
            <w:pPr>
              <w:pStyle w:val="null3"/>
              <w:ind w:firstLine="560"/>
              <w:jc w:val="both"/>
            </w:pPr>
            <w:r>
              <w:rPr>
                <w:rFonts w:ascii="仿宋_GB2312" w:hAnsi="仿宋_GB2312" w:cs="仿宋_GB2312" w:eastAsia="仿宋_GB2312"/>
              </w:rPr>
              <w:t>本项目所有服务均应满足但不限于以下最新版本的国家标准、行业标准、地方标准及其他规范：</w:t>
            </w:r>
          </w:p>
          <w:p>
            <w:pPr>
              <w:pStyle w:val="null3"/>
            </w:pPr>
            <w:r>
              <w:rPr>
                <w:rFonts w:ascii="仿宋_GB2312" w:hAnsi="仿宋_GB2312" w:cs="仿宋_GB2312" w:eastAsia="仿宋_GB2312"/>
              </w:rPr>
              <w:t>1.《水利水电建设工程验收规程》（SL 223）</w:t>
            </w:r>
          </w:p>
          <w:p>
            <w:pPr>
              <w:pStyle w:val="null3"/>
            </w:pPr>
            <w:r>
              <w:rPr>
                <w:rFonts w:ascii="仿宋_GB2312" w:hAnsi="仿宋_GB2312" w:cs="仿宋_GB2312" w:eastAsia="仿宋_GB2312"/>
              </w:rPr>
              <w:t>2.《水利水电工程蓄水安全鉴定办法》（水建管〔1999〕177号文及相关修订）</w:t>
            </w:r>
          </w:p>
          <w:p>
            <w:pPr>
              <w:pStyle w:val="null3"/>
            </w:pPr>
            <w:r>
              <w:rPr>
                <w:rFonts w:ascii="仿宋_GB2312" w:hAnsi="仿宋_GB2312" w:cs="仿宋_GB2312" w:eastAsia="仿宋_GB2312"/>
              </w:rPr>
              <w:t>3.《水利水电建设工程验收技术鉴定导则》（SL670-2015 ）</w:t>
            </w:r>
          </w:p>
          <w:p>
            <w:pPr>
              <w:pStyle w:val="null3"/>
            </w:pPr>
            <w:r>
              <w:rPr>
                <w:rFonts w:ascii="仿宋_GB2312" w:hAnsi="仿宋_GB2312" w:cs="仿宋_GB2312" w:eastAsia="仿宋_GB2312"/>
              </w:rPr>
              <w:t>4.《防洪标准》（GB 50201）</w:t>
            </w:r>
          </w:p>
          <w:p>
            <w:pPr>
              <w:pStyle w:val="null3"/>
            </w:pPr>
            <w:r>
              <w:rPr>
                <w:rFonts w:ascii="仿宋_GB2312" w:hAnsi="仿宋_GB2312" w:cs="仿宋_GB2312" w:eastAsia="仿宋_GB2312"/>
              </w:rPr>
              <w:t>5.《水利水电工程等级划分及洪水标准》（SL 252）</w:t>
            </w:r>
          </w:p>
          <w:p>
            <w:pPr>
              <w:pStyle w:val="null3"/>
            </w:pPr>
            <w:r>
              <w:rPr>
                <w:rFonts w:ascii="仿宋_GB2312" w:hAnsi="仿宋_GB2312" w:cs="仿宋_GB2312" w:eastAsia="仿宋_GB2312"/>
              </w:rPr>
              <w:t>6.《碾压式土石坝设计规范》（SL 274）或《混凝土重力坝设计规范》（SL 319）等（根据水库大坝实际坝型选择）</w:t>
            </w:r>
          </w:p>
          <w:p>
            <w:pPr>
              <w:pStyle w:val="null3"/>
            </w:pPr>
            <w:r>
              <w:rPr>
                <w:rFonts w:ascii="仿宋_GB2312" w:hAnsi="仿宋_GB2312" w:cs="仿宋_GB2312" w:eastAsia="仿宋_GB2312"/>
              </w:rPr>
              <w:t>7.《水工建筑物抗震设计标准》（GB 51247）</w:t>
            </w:r>
          </w:p>
          <w:p>
            <w:pPr>
              <w:pStyle w:val="null3"/>
            </w:pPr>
            <w:r>
              <w:rPr>
                <w:rFonts w:ascii="仿宋_GB2312" w:hAnsi="仿宋_GB2312" w:cs="仿宋_GB2312" w:eastAsia="仿宋_GB2312"/>
              </w:rPr>
              <w:t>8.《水利水电工程地质勘察规范》（GB 50487）</w:t>
            </w:r>
          </w:p>
          <w:p>
            <w:pPr>
              <w:pStyle w:val="null3"/>
            </w:pPr>
            <w:r>
              <w:rPr>
                <w:rFonts w:ascii="仿宋_GB2312" w:hAnsi="仿宋_GB2312" w:cs="仿宋_GB2312" w:eastAsia="仿宋_GB2312"/>
              </w:rPr>
              <w:t>9.《水工混凝土结构设计规范》（SL 191）</w:t>
            </w:r>
          </w:p>
          <w:p>
            <w:pPr>
              <w:pStyle w:val="null3"/>
            </w:pPr>
            <w:r>
              <w:rPr>
                <w:rFonts w:ascii="仿宋_GB2312" w:hAnsi="仿宋_GB2312" w:cs="仿宋_GB2312" w:eastAsia="仿宋_GB2312"/>
              </w:rPr>
              <w:t>10.《水利水电工程钢闸门设计规范》（SL 74）</w:t>
            </w:r>
          </w:p>
          <w:p>
            <w:pPr>
              <w:pStyle w:val="null3"/>
            </w:pPr>
            <w:r>
              <w:rPr>
                <w:rFonts w:ascii="仿宋_GB2312" w:hAnsi="仿宋_GB2312" w:cs="仿宋_GB2312" w:eastAsia="仿宋_GB2312"/>
              </w:rPr>
              <w:t>11.《水利水电工程启闭机设计规范》（SL 41）</w:t>
            </w:r>
          </w:p>
          <w:p>
            <w:pPr>
              <w:pStyle w:val="null3"/>
            </w:pPr>
            <w:r>
              <w:rPr>
                <w:rFonts w:ascii="仿宋_GB2312" w:hAnsi="仿宋_GB2312" w:cs="仿宋_GB2312" w:eastAsia="仿宋_GB2312"/>
              </w:rPr>
              <w:t>12.《大坝安全监测技术规范》（SL 551）</w:t>
            </w:r>
          </w:p>
          <w:p>
            <w:pPr>
              <w:pStyle w:val="null3"/>
            </w:pPr>
            <w:r>
              <w:rPr>
                <w:rFonts w:ascii="仿宋_GB2312" w:hAnsi="仿宋_GB2312" w:cs="仿宋_GB2312" w:eastAsia="仿宋_GB2312"/>
              </w:rPr>
              <w:t>13.国家及陕西省、渭南市颁布的其他相关法律、法规、规章及技术标准。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both"/>
            </w:pPr>
            <w:r>
              <w:rPr>
                <w:rFonts w:ascii="仿宋_GB2312" w:hAnsi="仿宋_GB2312" w:cs="仿宋_GB2312" w:eastAsia="仿宋_GB2312"/>
              </w:rPr>
              <w:t>二、采购标的具体要求</w:t>
            </w:r>
          </w:p>
          <w:p>
            <w:pPr>
              <w:pStyle w:val="null3"/>
            </w:pPr>
            <w:r>
              <w:rPr>
                <w:rFonts w:ascii="仿宋_GB2312" w:hAnsi="仿宋_GB2312" w:cs="仿宋_GB2312" w:eastAsia="仿宋_GB2312"/>
              </w:rPr>
              <w:t>1.供应商资格与能力要求：</w:t>
            </w:r>
          </w:p>
          <w:p>
            <w:pPr>
              <w:pStyle w:val="null3"/>
            </w:pPr>
            <w:r>
              <w:rPr>
                <w:rFonts w:ascii="仿宋_GB2312" w:hAnsi="仿宋_GB2312" w:cs="仿宋_GB2312" w:eastAsia="仿宋_GB2312"/>
              </w:rPr>
              <w:t>（1）供应商应具备独立承担民事责任能力的法人或其他组织。</w:t>
            </w:r>
          </w:p>
          <w:p>
            <w:pPr>
              <w:pStyle w:val="null3"/>
            </w:pPr>
            <w:r>
              <w:rPr>
                <w:rFonts w:ascii="仿宋_GB2312" w:hAnsi="仿宋_GB2312" w:cs="仿宋_GB2312" w:eastAsia="仿宋_GB2312"/>
              </w:rPr>
              <w:t>（2）供应商资格：同时具备①工程勘察（岩土工程或水文地质勘察或工程测量）专业乙级及以上或工程勘察综合资质甲级；② 工程设计水利行业水库枢纽专业乙级及以上或工程设计水利行业乙级及以上或工程设计综合资质甲级；③ 通过全国投资项目在线审批监管平台备案，咨询范围含水利水电专业评估咨询或全过程咨询。</w:t>
            </w:r>
          </w:p>
          <w:p>
            <w:pPr>
              <w:pStyle w:val="null3"/>
            </w:pPr>
            <w:r>
              <w:rPr>
                <w:rFonts w:ascii="仿宋_GB2312" w:hAnsi="仿宋_GB2312" w:cs="仿宋_GB2312" w:eastAsia="仿宋_GB2312"/>
              </w:rPr>
              <w:t>（3）项目负责人：具备水利水电相关专业高级技术职称，并出具项目负责人在供应商单位本单位人员证明材料（提供近3个月内任意一个月的养老保险缴纳证明，退休返聘人员可以提供退休证及劳动合同复印件）。</w:t>
            </w:r>
          </w:p>
          <w:p>
            <w:pPr>
              <w:pStyle w:val="null3"/>
            </w:pPr>
            <w:r>
              <w:rPr>
                <w:rFonts w:ascii="仿宋_GB2312" w:hAnsi="仿宋_GB2312" w:cs="仿宋_GB2312" w:eastAsia="仿宋_GB2312"/>
              </w:rPr>
              <w:t>2.服务团队要求：</w:t>
            </w:r>
          </w:p>
          <w:p>
            <w:pPr>
              <w:pStyle w:val="null3"/>
            </w:pPr>
            <w:r>
              <w:rPr>
                <w:rFonts w:ascii="仿宋_GB2312" w:hAnsi="仿宋_GB2312" w:cs="仿宋_GB2312" w:eastAsia="仿宋_GB2312"/>
              </w:rPr>
              <w:t>供应商应组建一个专业配置齐全、经验丰富的项目组。</w:t>
            </w:r>
          </w:p>
          <w:p>
            <w:pPr>
              <w:pStyle w:val="null3"/>
            </w:pPr>
            <w:r>
              <w:rPr>
                <w:rFonts w:ascii="仿宋_GB2312" w:hAnsi="仿宋_GB2312" w:cs="仿宋_GB2312" w:eastAsia="仿宋_GB2312"/>
              </w:rPr>
              <w:t>3.具体服务内容：</w:t>
            </w:r>
          </w:p>
          <w:p>
            <w:pPr>
              <w:pStyle w:val="null3"/>
            </w:pPr>
            <w:r>
              <w:rPr>
                <w:rFonts w:ascii="仿宋_GB2312" w:hAnsi="仿宋_GB2312" w:cs="仿宋_GB2312" w:eastAsia="仿宋_GB2312"/>
              </w:rPr>
              <w:t>（1）工程现状调查与分析：全面收集水库除险加固工程的设计、施工、监理、监测等资料，并对工程完成情况、质量状况进行现场查勘与核实。</w:t>
            </w:r>
          </w:p>
          <w:p>
            <w:pPr>
              <w:pStyle w:val="null3"/>
            </w:pPr>
            <w:r>
              <w:rPr>
                <w:rFonts w:ascii="仿宋_GB2312" w:hAnsi="仿宋_GB2312" w:cs="仿宋_GB2312" w:eastAsia="仿宋_GB2312"/>
              </w:rPr>
              <w:t>（2）工程防洪标准复核：根据最新水文资料和规范，复核水库大坝及泄洪建筑物的防洪能力，确保其满足现行规范要求的防洪标准。</w:t>
            </w:r>
          </w:p>
          <w:p>
            <w:pPr>
              <w:pStyle w:val="null3"/>
            </w:pPr>
            <w:r>
              <w:rPr>
                <w:rFonts w:ascii="仿宋_GB2312" w:hAnsi="仿宋_GB2312" w:cs="仿宋_GB2312" w:eastAsia="仿宋_GB2312"/>
              </w:rPr>
              <w:t>（3）大坝结构安全评价：对大坝（包括挡水建筑物、泄水建筑物等）的稳定性、强度、变形等进行计算分析与评价，判断其结构安全性。</w:t>
            </w:r>
          </w:p>
          <w:p>
            <w:pPr>
              <w:pStyle w:val="null3"/>
            </w:pPr>
            <w:r>
              <w:rPr>
                <w:rFonts w:ascii="仿宋_GB2312" w:hAnsi="仿宋_GB2312" w:cs="仿宋_GB2312" w:eastAsia="仿宋_GB2312"/>
              </w:rPr>
              <w:t>（4）金属结构及机电设备安全评价：对闸门、启闭机等金属结构及电气设备的设计、制造、安装及运行安全性进行检测与评价。</w:t>
            </w:r>
          </w:p>
          <w:p>
            <w:pPr>
              <w:pStyle w:val="null3"/>
            </w:pPr>
            <w:r>
              <w:rPr>
                <w:rFonts w:ascii="仿宋_GB2312" w:hAnsi="仿宋_GB2312" w:cs="仿宋_GB2312" w:eastAsia="仿宋_GB2312"/>
              </w:rPr>
              <w:t>（5）工程地质与渗流安全评价：评价水库库岸、大坝坝基及绕坝渗流的稳定性，分析防渗体系的可靠性。</w:t>
            </w:r>
          </w:p>
          <w:p>
            <w:pPr>
              <w:pStyle w:val="null3"/>
            </w:pPr>
            <w:r>
              <w:rPr>
                <w:rFonts w:ascii="仿宋_GB2312" w:hAnsi="仿宋_GB2312" w:cs="仿宋_GB2312" w:eastAsia="仿宋_GB2312"/>
              </w:rPr>
              <w:t>（6）抗震安全复核：根据地震动参数区划图，复核工程的抗震设计和措施是否满足安全要求。</w:t>
            </w:r>
          </w:p>
          <w:p>
            <w:pPr>
              <w:pStyle w:val="null3"/>
            </w:pPr>
            <w:r>
              <w:rPr>
                <w:rFonts w:ascii="仿宋_GB2312" w:hAnsi="仿宋_GB2312" w:cs="仿宋_GB2312" w:eastAsia="仿宋_GB2312"/>
              </w:rPr>
              <w:t>（7）蓄水方案与调度运行方案评价：对水库下闸蓄水方案、初期蓄水计划及长期调度运行规程的安全性、合理性进行评价。</w:t>
            </w:r>
          </w:p>
          <w:p>
            <w:pPr>
              <w:pStyle w:val="null3"/>
            </w:pPr>
            <w:r>
              <w:rPr>
                <w:rFonts w:ascii="仿宋_GB2312" w:hAnsi="仿宋_GB2312" w:cs="仿宋_GB2312" w:eastAsia="仿宋_GB2312"/>
              </w:rPr>
              <w:t>（8）监测资料分析与安全监测系统评价：分析施工期及蓄水前后的监测资料，评价工程性态，并对安全监测系统的完备性、可靠性进行评价。</w:t>
            </w:r>
          </w:p>
          <w:p>
            <w:pPr>
              <w:pStyle w:val="null3"/>
            </w:pPr>
            <w:r>
              <w:rPr>
                <w:rFonts w:ascii="仿宋_GB2312" w:hAnsi="仿宋_GB2312" w:cs="仿宋_GB2312" w:eastAsia="仿宋_GB2312"/>
              </w:rPr>
              <w:t>（9）编制蓄水安全鉴定报告：在上述工作的基础上，编制全面、客观、公正的《林皋水库除险加固工程蓄水安全鉴定报告》，报告结论应明确，并提出必要的建议。</w:t>
            </w:r>
          </w:p>
          <w:p>
            <w:pPr>
              <w:pStyle w:val="null3"/>
            </w:pPr>
            <w:r>
              <w:rPr>
                <w:rFonts w:ascii="仿宋_GB2312" w:hAnsi="仿宋_GB2312" w:cs="仿宋_GB2312" w:eastAsia="仿宋_GB2312"/>
              </w:rPr>
              <w:t>（10）配合验收工作：派员参加蓄水验收会议，汇报鉴定成果，并解答专家和主管部门的质询，报告成果需通过蓄水验收。</w:t>
            </w:r>
          </w:p>
          <w:p>
            <w:pPr>
              <w:pStyle w:val="null3"/>
            </w:pPr>
            <w:r>
              <w:rPr>
                <w:rFonts w:ascii="仿宋_GB2312" w:hAnsi="仿宋_GB2312" w:cs="仿宋_GB2312" w:eastAsia="仿宋_GB2312"/>
              </w:rPr>
              <w:t>4.成果文件要求：</w:t>
            </w:r>
          </w:p>
          <w:p>
            <w:pPr>
              <w:pStyle w:val="null3"/>
            </w:pPr>
            <w:r>
              <w:rPr>
                <w:rFonts w:ascii="仿宋_GB2312" w:hAnsi="仿宋_GB2312" w:cs="仿宋_GB2312" w:eastAsia="仿宋_GB2312"/>
              </w:rPr>
              <w:t>（1）提交的《林皋水库除险加固工程蓄水安全鉴定报告》（最终稿）必须通过项目法人组织的专家审查，并取得同意下闸蓄水的明确鉴定结论或批复文件。</w:t>
            </w:r>
          </w:p>
          <w:p>
            <w:pPr>
              <w:pStyle w:val="null3"/>
            </w:pPr>
            <w:r>
              <w:rPr>
                <w:rFonts w:ascii="仿宋_GB2312" w:hAnsi="仿宋_GB2312" w:cs="仿宋_GB2312" w:eastAsia="仿宋_GB2312"/>
              </w:rPr>
              <w:t>（2）报告份数不少于10份，同时提供完整的电子版（PDF和可编辑Word文档格式各一份）。</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0"/>
              <w:jc w:val="both"/>
            </w:pPr>
            <w:r>
              <w:rPr>
                <w:rFonts w:ascii="仿宋_GB2312" w:hAnsi="仿宋_GB2312" w:cs="仿宋_GB2312" w:eastAsia="仿宋_GB2312"/>
              </w:rPr>
              <w:t>三、服务标准、期限、效率等要求</w:t>
            </w:r>
          </w:p>
          <w:p>
            <w:pPr>
              <w:pStyle w:val="null3"/>
            </w:pPr>
            <w:r>
              <w:rPr>
                <w:rFonts w:ascii="仿宋_GB2312" w:hAnsi="仿宋_GB2312" w:cs="仿宋_GB2312" w:eastAsia="仿宋_GB2312"/>
              </w:rPr>
              <w:t>1.服务标准：服务过程应坚持科学、客观、公正、独立的原则，严格遵守职业道德和行业规范。所有分析、计算和结论均应有充分依据。</w:t>
            </w:r>
          </w:p>
          <w:p>
            <w:pPr>
              <w:pStyle w:val="null3"/>
            </w:pPr>
            <w:r>
              <w:rPr>
                <w:rFonts w:ascii="仿宋_GB2312" w:hAnsi="仿宋_GB2312" w:cs="仿宋_GB2312" w:eastAsia="仿宋_GB2312"/>
              </w:rPr>
              <w:t>2.服务期限：严格在合同约定的15日历天内完成全部服务工作，并提交最终鉴定报告。如遇不可抗力等因素，经采购人同意后可适当顺延。</w:t>
            </w:r>
          </w:p>
          <w:p>
            <w:pPr>
              <w:pStyle w:val="null3"/>
            </w:pPr>
            <w:r>
              <w:rPr>
                <w:rFonts w:ascii="仿宋_GB2312" w:hAnsi="仿宋_GB2312" w:cs="仿宋_GB2312" w:eastAsia="仿宋_GB2312"/>
              </w:rPr>
              <w:t>3.服务效率：供应商应制定详细的工作计划，合理安排人员和时间，确保工作高效推进。对采购人提出的合理问题和技术咨询，应在24小时内予以响应。</w:t>
            </w:r>
          </w:p>
          <w:p>
            <w:pPr>
              <w:pStyle w:val="null3"/>
            </w:pPr>
            <w:r>
              <w:rPr>
                <w:rFonts w:ascii="仿宋_GB2312" w:hAnsi="仿宋_GB2312" w:cs="仿宋_GB2312" w:eastAsia="仿宋_GB2312"/>
              </w:rPr>
              <w:t>4.保密要求：供应商应对在服务过程中获取的工程资料、数据等信息负有保密责任，未经采购人书面同意，不得向任何第三方泄露。</w:t>
            </w:r>
          </w:p>
          <w:p>
            <w:pPr>
              <w:pStyle w:val="null3"/>
            </w:pPr>
            <w:r>
              <w:rPr>
                <w:rFonts w:ascii="仿宋_GB2312" w:hAnsi="仿宋_GB2312" w:cs="仿宋_GB2312" w:eastAsia="仿宋_GB2312"/>
              </w:rPr>
              <w:t>5.成果质量保证：供应商应对其出具的《林皋水库除险加固工程蓄水安全鉴定报告》的准确性、科学性和公正性负全部责任。如因报告结论错误或疏漏给采购人造成损失，供应商应承担相应的责任。</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560"/>
              <w:jc w:val="both"/>
            </w:pPr>
            <w:r>
              <w:rPr>
                <w:rFonts w:ascii="仿宋_GB2312" w:hAnsi="仿宋_GB2312" w:cs="仿宋_GB2312" w:eastAsia="仿宋_GB2312"/>
              </w:rPr>
              <w:t>四、验收标准</w:t>
            </w:r>
          </w:p>
          <w:p>
            <w:pPr>
              <w:pStyle w:val="null3"/>
            </w:pPr>
            <w:r>
              <w:rPr>
                <w:rFonts w:ascii="仿宋_GB2312" w:hAnsi="仿宋_GB2312" w:cs="仿宋_GB2312" w:eastAsia="仿宋_GB2312"/>
              </w:rPr>
              <w:t>1.验收依据：以本项目采购需求、合同条款以及国家、行业相关标准规范为依据。</w:t>
            </w:r>
          </w:p>
          <w:p>
            <w:pPr>
              <w:pStyle w:val="null3"/>
            </w:pPr>
            <w:r>
              <w:rPr>
                <w:rFonts w:ascii="仿宋_GB2312" w:hAnsi="仿宋_GB2312" w:cs="仿宋_GB2312" w:eastAsia="仿宋_GB2312"/>
              </w:rPr>
              <w:t>2.验收内容：</w:t>
            </w:r>
          </w:p>
          <w:p>
            <w:pPr>
              <w:pStyle w:val="null3"/>
            </w:pPr>
            <w:r>
              <w:rPr>
                <w:rFonts w:ascii="仿宋_GB2312" w:hAnsi="仿宋_GB2312" w:cs="仿宋_GB2312" w:eastAsia="仿宋_GB2312"/>
              </w:rPr>
              <w:t>（1）提交的《林皋水库除险加固工程蓄水安全鉴定报告》是否内容完整、符合技术标准和采购需求。</w:t>
            </w:r>
          </w:p>
          <w:p>
            <w:pPr>
              <w:pStyle w:val="null3"/>
            </w:pPr>
            <w:r>
              <w:rPr>
                <w:rFonts w:ascii="仿宋_GB2312" w:hAnsi="仿宋_GB2312" w:cs="仿宋_GB2312" w:eastAsia="仿宋_GB2312"/>
              </w:rPr>
              <w:t>（2）报告是否通过项目法人组织的专家审查，并取得明确的、同意下闸蓄水的鉴定结论或批复文件。</w:t>
            </w:r>
          </w:p>
          <w:p>
            <w:pPr>
              <w:pStyle w:val="null3"/>
            </w:pPr>
            <w:r>
              <w:rPr>
                <w:rFonts w:ascii="仿宋_GB2312" w:hAnsi="仿宋_GB2312" w:cs="仿宋_GB2312" w:eastAsia="仿宋_GB2312"/>
              </w:rPr>
              <w:t>（3）《林皋水库除险加固工程蓄水安全鉴定报告》需通过蓄水验收。</w:t>
            </w:r>
          </w:p>
          <w:p>
            <w:pPr>
              <w:pStyle w:val="null3"/>
            </w:pPr>
            <w:r>
              <w:rPr>
                <w:rFonts w:ascii="仿宋_GB2312" w:hAnsi="仿宋_GB2312" w:cs="仿宋_GB2312" w:eastAsia="仿宋_GB2312"/>
              </w:rPr>
              <w:t>（4）服务过程是否符合约定的时间节点和质量要求。</w:t>
            </w:r>
          </w:p>
          <w:p>
            <w:pPr>
              <w:pStyle w:val="null3"/>
            </w:pPr>
            <w:r>
              <w:rPr>
                <w:rFonts w:ascii="仿宋_GB2312" w:hAnsi="仿宋_GB2312" w:cs="仿宋_GB2312" w:eastAsia="仿宋_GB2312"/>
              </w:rPr>
              <w:t>3.验收方式：由采购人组织验收，以蓄水验收主持单位出具的正式批复文件和最终提交的成果文件为主要方式。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成交供应商应保证采购人在使用所涉技术方案或其任何一部分技术资料时，免受第三方提出侵犯其专利权、商标权或工业设计权等知识产权的起诉。如果发生诉讼，所有费用和责任由成交供应商承担。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自合同签订之日起15日历天完成（含蓄水安全鉴定及鉴定报告的编制、评审、修改完善并提交最终成果文件的时间）。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林皋水库位于北洛河一级支流白水河中游的林皋河汇入口下游200米处，坝址位于林皋镇林皋村西南1公里。</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1.验收依据：以本项目采购需求、合同条款以及国家、行业相关标准规范为依据。 2.验收内容： （1）提交的《林皋水库除险加固工程蓄水安全鉴定报告》是否内容完整、符合技术标准和采购需求。 （2）报告是否通过项目法人组织的专家审查，并取得明确的、同意下闸蓄水的鉴定结论或批复文件。 （3）《林皋水库除险加固工程蓄水安全鉴定报告》需通过蓄水验收。 （4）服务过程是否符合约定的时间节点和质量要求。 3.验收方式：由采购人组织验收，以蓄水验收主持单位出具的正式批复文件和最终提交的成果文件为主要方式。</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供应商提交的《林皋水库除险加固工程蓄水安全鉴定报告》通过项目法人组织的专家审查，同时该工程蓄水验收取得验收主持单位的正式批复或备案文件后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完全理解并接受第八章“拟签订采购合同文本”。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了企业声明函原件，企业类型为中型企业或小型企业或微型企业或监狱企业或残疾人福利性企业。本合同包所属行业：其他未列明行业。从业人员300人以下的为中小微型企业。其中，从业人员100人及以上的为中型企业；从业人员10人及以上的为小型企业；从业人员10人以下的为微型企业。特别说明：从业人员、营业收入、资产总额填报上一年度数据，上一年度数据是指提供2024年度的数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供应商提供有效存续的企业营业执照（含2024或2025年度报告）。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供应商同时具备①工程勘察（岩土工程或水文地质勘察或工程测量）专业乙级及以上或工程勘察综合资质甲级；② 工程设计水利行业水库枢纽专业乙级及以上或工程设计水利行业乙级及以上或工程设计综合资质甲级；③ 通过全国投资项目在线审批监管平台备案，咨询范围含水利水电专业评估咨询或全过程咨询。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项目负责人具备水利水电相关专业高级技术职称，并出具项目负责人在供应商单位本单位人员证明材料（提供近3个月内任意一个月的养老保险缴纳证明，退休返聘人员可以提供退休证及劳动合同复印件）。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经审计的财务报告（包括“四表一注”，即资产负债表、利润表、现金流量表、所有者权益变动表及其附注，成立时间至提交响应文件截止时间不足一年的可提供成立后任意时段的资产负债表），或其提交响应文件截止时间前三个月内基本开户银行出具的资信证明，或信用担保机构出具的协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供应商提供2025年7月1日至响应文件递交截止之日任意一个月的社会保障资金缴存单据或社保机构开具的社会保险参保缴费情况证明。依法不需要缴纳社会保障资金的供应商应提供相关证明文件。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7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本合同包不接受联合体磋商、不允许分包</w:t>
            </w:r>
          </w:p>
        </w:tc>
        <w:tc>
          <w:tcPr>
            <w:tcW w:type="dxa" w:w="3322"/>
          </w:tcPr>
          <w:p>
            <w:pPr>
              <w:pStyle w:val="null3"/>
            </w:pPr>
            <w:r>
              <w:rPr>
                <w:rFonts w:ascii="仿宋_GB2312" w:hAnsi="仿宋_GB2312" w:cs="仿宋_GB2312" w:eastAsia="仿宋_GB2312"/>
              </w:rPr>
              <w:t>供应商提供《非联合体磋商不分包声明》。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磋商文件签字盖章</w:t>
            </w:r>
          </w:p>
        </w:tc>
        <w:tc>
          <w:tcPr>
            <w:tcW w:type="dxa" w:w="3322"/>
          </w:tcPr>
          <w:p>
            <w:pPr>
              <w:pStyle w:val="null3"/>
            </w:pPr>
            <w:r>
              <w:rPr>
                <w:rFonts w:ascii="仿宋_GB2312" w:hAnsi="仿宋_GB2312" w:cs="仿宋_GB2312" w:eastAsia="仿宋_GB2312"/>
              </w:rPr>
              <w:t>响应文件签字盖章满足磋商文件的要求</w:t>
            </w:r>
          </w:p>
        </w:tc>
        <w:tc>
          <w:tcPr>
            <w:tcW w:type="dxa" w:w="1661"/>
          </w:tcPr>
          <w:p>
            <w:pPr>
              <w:pStyle w:val="null3"/>
            </w:pPr>
            <w:r>
              <w:rPr>
                <w:rFonts w:ascii="仿宋_GB2312" w:hAnsi="仿宋_GB2312" w:cs="仿宋_GB2312" w:eastAsia="仿宋_GB2312"/>
              </w:rPr>
              <w:t>响应文件封面 项目负责人简历表.docx 中小企业声明函 近年类似项目业绩.docx 标的清单 服务内容及服务邀请应答表.docx 商务应答表.docx 报价表 响应函 承诺函.docx 资格证明文件.docx 项目团队人员配备表.docx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供应商首次磋商报价未出现选择性报价，首次磋商报价未超出采购预算及最高限价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磋商内容</w:t>
            </w:r>
          </w:p>
        </w:tc>
        <w:tc>
          <w:tcPr>
            <w:tcW w:type="dxa" w:w="3322"/>
          </w:tcPr>
          <w:p>
            <w:pPr>
              <w:pStyle w:val="null3"/>
            </w:pPr>
            <w:r>
              <w:rPr>
                <w:rFonts w:ascii="仿宋_GB2312" w:hAnsi="仿宋_GB2312" w:cs="仿宋_GB2312" w:eastAsia="仿宋_GB2312"/>
              </w:rPr>
              <w:t>磋商内容未出现漏项，要求相符，未出现重大负偏差</w:t>
            </w:r>
          </w:p>
        </w:tc>
        <w:tc>
          <w:tcPr>
            <w:tcW w:type="dxa" w:w="1661"/>
          </w:tcPr>
          <w:p>
            <w:pPr>
              <w:pStyle w:val="null3"/>
            </w:pPr>
            <w:r>
              <w:rPr>
                <w:rFonts w:ascii="仿宋_GB2312" w:hAnsi="仿宋_GB2312" w:cs="仿宋_GB2312" w:eastAsia="仿宋_GB2312"/>
              </w:rPr>
              <w:t>响应文件封面 项目负责人简历表.docx 中小企业声明函 标的清单 报价表 服务内容及服务邀请应答表.docx 商务应答表.docx 承诺函.docx 资格证明文件.docx 项目团队人员配备表.docx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满足竞争性磋商文件中实质性要求。</w:t>
            </w:r>
          </w:p>
        </w:tc>
        <w:tc>
          <w:tcPr>
            <w:tcW w:type="dxa" w:w="1661"/>
          </w:tcPr>
          <w:p>
            <w:pPr>
              <w:pStyle w:val="null3"/>
            </w:pPr>
            <w:r>
              <w:rPr>
                <w:rFonts w:ascii="仿宋_GB2312" w:hAnsi="仿宋_GB2312" w:cs="仿宋_GB2312" w:eastAsia="仿宋_GB2312"/>
              </w:rPr>
              <w:t>项目负责人简历表.docx 中小企业声明函 标的清单 报价表 服务内容及服务邀请应答表.docx 商务应答表.docx 资格证明文件.docx 项目团队人员配备表.docx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供应商提供自2022年1月1日至今（以合同签订时间为准）签署的水利水电工程安全鉴定、技术评估或除险加固设计类项目，每提供一份符合上述定义的类似项目业绩合同复印件得2分，本项最高得10分。 评审依据：以响应文件中加盖公章的合同关键页（包括但不限于合同双方、项目名称、合同金额、签订时间、服务内容等页）复印件为准。未提供或提供材料无法清晰证明为类似项目的，不得分。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近年类似项目业绩.docx</w:t>
            </w:r>
          </w:p>
        </w:tc>
      </w:tr>
      <w:tr>
        <w:tc>
          <w:tcPr>
            <w:tcW w:type="dxa" w:w="831"/>
            <w:vMerge/>
          </w:tcPr>
          <w:p/>
        </w:tc>
        <w:tc>
          <w:tcPr>
            <w:tcW w:type="dxa" w:w="1661"/>
          </w:tcPr>
          <w:p>
            <w:pPr>
              <w:pStyle w:val="null3"/>
            </w:pPr>
            <w:r>
              <w:rPr>
                <w:rFonts w:ascii="仿宋_GB2312" w:hAnsi="仿宋_GB2312" w:cs="仿宋_GB2312" w:eastAsia="仿宋_GB2312"/>
              </w:rPr>
              <w:t>项目负责人资历</w:t>
            </w:r>
          </w:p>
        </w:tc>
        <w:tc>
          <w:tcPr>
            <w:tcW w:type="dxa" w:w="2492"/>
          </w:tcPr>
          <w:p>
            <w:pPr>
              <w:pStyle w:val="null3"/>
            </w:pPr>
            <w:r>
              <w:rPr>
                <w:rFonts w:ascii="仿宋_GB2312" w:hAnsi="仿宋_GB2312" w:cs="仿宋_GB2312" w:eastAsia="仿宋_GB2312"/>
              </w:rPr>
              <w:t>项目负责人2022年1月1日至今（以合同签订时间为准）负责过水利水电工程的安全鉴定、技术评估或除险加固设计工作，提供能证明其主持工作的合同关键页及成果文件（如鉴定报告封面页、署名页）复印件。每提供一份类似项目业绩证明材料的得1分；最高累计得5分，不提供不得分。 评审依据：以响应文件中加盖公章的证明材料复印件为准。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项目负责人简历表.docx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团队中每提供1名具备中级技术职称的人员得1分，每提供1名具备副高级及以上技术职称的人员得2分，本项最多得10分。 注：上述人员职称专业应与水利水电、岩土工程、结构工程、地质勘探等本项目相关专业相近，并同时提供上述人员在供应商单位本单位人员证明材料（提供近3个月内任意一个月的养老保险缴纳证明，退休返聘人员可以提供退休证及劳动合同复印件）。 评审依据：以响应文件中加盖公章的人员职称证书及本单位人员证明材料复印件为准。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项目团队人员配备表.docx</w:t>
            </w:r>
          </w:p>
        </w:tc>
      </w:tr>
      <w:tr>
        <w:tc>
          <w:tcPr>
            <w:tcW w:type="dxa" w:w="831"/>
            <w:vMerge/>
          </w:tcPr>
          <w:p/>
        </w:tc>
        <w:tc>
          <w:tcPr>
            <w:tcW w:type="dxa" w:w="1661"/>
          </w:tcPr>
          <w:p>
            <w:pPr>
              <w:pStyle w:val="null3"/>
            </w:pPr>
            <w:r>
              <w:rPr>
                <w:rFonts w:ascii="仿宋_GB2312" w:hAnsi="仿宋_GB2312" w:cs="仿宋_GB2312" w:eastAsia="仿宋_GB2312"/>
              </w:rPr>
              <w:t>项目理解与关键点分析</w:t>
            </w:r>
          </w:p>
        </w:tc>
        <w:tc>
          <w:tcPr>
            <w:tcW w:type="dxa" w:w="2492"/>
          </w:tcPr>
          <w:p>
            <w:pPr>
              <w:pStyle w:val="null3"/>
            </w:pPr>
            <w:r>
              <w:rPr>
                <w:rFonts w:ascii="仿宋_GB2312" w:hAnsi="仿宋_GB2312" w:cs="仿宋_GB2312" w:eastAsia="仿宋_GB2312"/>
              </w:rPr>
              <w:t>1.评审内容：供应商需针对本项目的特点，对蓄水安全鉴定的五个关键环节（①防洪标准复核②大坝结构安全③渗流稳定④抗震安全⑤金属结构安全）进行理解与分析。 2.评审标准： ①基础分值：每个核心模块内容无缺陷得2分，5个模块满分10分。 ②缺陷扣分：每个模块每存在1处缺陷扣0.4分，单个模块缺陷扣分最多扣完该模块分值2分，整体扣完10分为止。 ③缺陷定义：a.内容不完整，遗漏重要技术环节。b.描述过于简单，缺乏深度。c.非专门针对本项目，为通用性描述。d.存在逻辑漏洞或技术性错误。e.分析结论不利于指导后续工作。</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1.项目理解与关键点分析.docx</w:t>
            </w:r>
          </w:p>
        </w:tc>
      </w:tr>
      <w:tr>
        <w:tc>
          <w:tcPr>
            <w:tcW w:type="dxa" w:w="831"/>
            <w:vMerge/>
          </w:tcPr>
          <w:p/>
        </w:tc>
        <w:tc>
          <w:tcPr>
            <w:tcW w:type="dxa" w:w="1661"/>
          </w:tcPr>
          <w:p>
            <w:pPr>
              <w:pStyle w:val="null3"/>
            </w:pPr>
            <w:r>
              <w:rPr>
                <w:rFonts w:ascii="仿宋_GB2312" w:hAnsi="仿宋_GB2312" w:cs="仿宋_GB2312" w:eastAsia="仿宋_GB2312"/>
              </w:rPr>
              <w:t>工作内容与方法</w:t>
            </w:r>
          </w:p>
        </w:tc>
        <w:tc>
          <w:tcPr>
            <w:tcW w:type="dxa" w:w="2492"/>
          </w:tcPr>
          <w:p>
            <w:pPr>
              <w:pStyle w:val="null3"/>
            </w:pPr>
            <w:r>
              <w:rPr>
                <w:rFonts w:ascii="仿宋_GB2312" w:hAnsi="仿宋_GB2312" w:cs="仿宋_GB2312" w:eastAsia="仿宋_GB2312"/>
              </w:rPr>
              <w:t>1.评审内容：方案需针对采购需求中的各项具体服务内容，逐项阐述其工作内容、采用的技术方法、依据的规范标准及评价模型。 2.评审标准： ①基础分值：工作内容完整、技术方法先进适用、规范标准引用准确、逻辑清晰，得12分。 ②缺陷扣分：每存在1处缺陷扣2.4分，扣完12分为止。 ③缺陷定义：a.内容不完整，缺少某项核心服务内容的具体措施。b.描述模糊，方法不明确。c.套用模板，未与本项目实际结合。d.技术方法或引用规范存在明显错误或不适用。e.方案可行性差。</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2.工作内容与方法.docx</w:t>
            </w:r>
          </w:p>
        </w:tc>
      </w:tr>
      <w:tr>
        <w:tc>
          <w:tcPr>
            <w:tcW w:type="dxa" w:w="831"/>
            <w:vMerge/>
          </w:tcPr>
          <w:p/>
        </w:tc>
        <w:tc>
          <w:tcPr>
            <w:tcW w:type="dxa" w:w="1661"/>
          </w:tcPr>
          <w:p>
            <w:pPr>
              <w:pStyle w:val="null3"/>
            </w:pPr>
            <w:r>
              <w:rPr>
                <w:rFonts w:ascii="仿宋_GB2312" w:hAnsi="仿宋_GB2312" w:cs="仿宋_GB2312" w:eastAsia="仿宋_GB2312"/>
              </w:rPr>
              <w:t>进度计划与保障</w:t>
            </w:r>
          </w:p>
        </w:tc>
        <w:tc>
          <w:tcPr>
            <w:tcW w:type="dxa" w:w="2492"/>
          </w:tcPr>
          <w:p>
            <w:pPr>
              <w:pStyle w:val="null3"/>
            </w:pPr>
            <w:r>
              <w:rPr>
                <w:rFonts w:ascii="仿宋_GB2312" w:hAnsi="仿宋_GB2312" w:cs="仿宋_GB2312" w:eastAsia="仿宋_GB2312"/>
              </w:rPr>
              <w:t>1.评审内容：方案需提供详细的工作计划与进度保障措施，确保在15日历天内完成全部工作。 2.评审标准： ①基础分值：计划周密，关键节点清晰，保障措施具体有力，得6分。 ②缺陷扣分：每存在1处缺陷扣1.2分，扣完6分为止。 ③缺陷定义：a.内容不完整，缺少关键工作节点。b.计划不合理，无法在30天内完成。c.描述过于简单，缺乏具体安排。d.保障措施空泛，不可操作。e.存在逻辑漏洞。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3.进度计划与保障.docx</w:t>
            </w:r>
          </w:p>
        </w:tc>
      </w:tr>
      <w:tr>
        <w:tc>
          <w:tcPr>
            <w:tcW w:type="dxa" w:w="831"/>
            <w:vMerge/>
          </w:tcPr>
          <w:p/>
        </w:tc>
        <w:tc>
          <w:tcPr>
            <w:tcW w:type="dxa" w:w="1661"/>
          </w:tcPr>
          <w:p>
            <w:pPr>
              <w:pStyle w:val="null3"/>
            </w:pPr>
            <w:r>
              <w:rPr>
                <w:rFonts w:ascii="仿宋_GB2312" w:hAnsi="仿宋_GB2312" w:cs="仿宋_GB2312" w:eastAsia="仿宋_GB2312"/>
              </w:rPr>
              <w:t>全过程质量管控措施</w:t>
            </w:r>
          </w:p>
        </w:tc>
        <w:tc>
          <w:tcPr>
            <w:tcW w:type="dxa" w:w="2492"/>
          </w:tcPr>
          <w:p>
            <w:pPr>
              <w:pStyle w:val="null3"/>
            </w:pPr>
            <w:r>
              <w:rPr>
                <w:rFonts w:ascii="仿宋_GB2312" w:hAnsi="仿宋_GB2312" w:cs="仿宋_GB2312" w:eastAsia="仿宋_GB2312"/>
              </w:rPr>
              <w:t>1.评审内容：方案需阐述(①资料收集②现场查勘③分析计算④内部校审⑤报告编制)的全过程质量监督与控制措施。 2.评审标准： ①基础分值：每个核心模块内容无缺陷得3分，5个模块满分15分。 ②缺陷扣分：每个模块每存在1处缺陷扣0.6分，单个模块缺陷扣分最多扣完该模块分值5分，整体扣完15分为止。 ③缺陷定义：a.内容不完整。b.描述过于简单。c.非专门针对本项目。d.存在逻辑漏洞。e.不利于最终报告质量目标的实现。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4.全过程质量管控措施.docx</w:t>
            </w:r>
          </w:p>
        </w:tc>
      </w:tr>
      <w:tr>
        <w:tc>
          <w:tcPr>
            <w:tcW w:type="dxa" w:w="831"/>
            <w:vMerge/>
          </w:tcPr>
          <w:p/>
        </w:tc>
        <w:tc>
          <w:tcPr>
            <w:tcW w:type="dxa" w:w="1661"/>
          </w:tcPr>
          <w:p>
            <w:pPr>
              <w:pStyle w:val="null3"/>
            </w:pPr>
            <w:r>
              <w:rPr>
                <w:rFonts w:ascii="仿宋_GB2312" w:hAnsi="仿宋_GB2312" w:cs="仿宋_GB2312" w:eastAsia="仿宋_GB2312"/>
              </w:rPr>
              <w:t>技术服务与指导计划</w:t>
            </w:r>
          </w:p>
        </w:tc>
        <w:tc>
          <w:tcPr>
            <w:tcW w:type="dxa" w:w="2492"/>
          </w:tcPr>
          <w:p>
            <w:pPr>
              <w:pStyle w:val="null3"/>
            </w:pPr>
            <w:r>
              <w:rPr>
                <w:rFonts w:ascii="仿宋_GB2312" w:hAnsi="仿宋_GB2312" w:cs="仿宋_GB2312" w:eastAsia="仿宋_GB2312"/>
              </w:rPr>
              <w:t>1.评审内容：方案需包含专门的技术服务与指导计划。 2.评审标准： ①基础分值：内容无缺陷得4分。 ②缺陷扣分：每存在1处缺陷扣1分，扣完4分为止。 ③缺陷定义：a.内容不完整。b.描述模糊。c.套用其他项目内容。d.存在不可能情形。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5.技术服务与指导计划.docx</w:t>
            </w:r>
          </w:p>
        </w:tc>
      </w:tr>
      <w:tr>
        <w:tc>
          <w:tcPr>
            <w:tcW w:type="dxa" w:w="831"/>
            <w:vMerge/>
          </w:tcPr>
          <w:p/>
        </w:tc>
        <w:tc>
          <w:tcPr>
            <w:tcW w:type="dxa" w:w="1661"/>
          </w:tcPr>
          <w:p>
            <w:pPr>
              <w:pStyle w:val="null3"/>
            </w:pPr>
            <w:r>
              <w:rPr>
                <w:rFonts w:ascii="仿宋_GB2312" w:hAnsi="仿宋_GB2312" w:cs="仿宋_GB2312" w:eastAsia="仿宋_GB2312"/>
              </w:rPr>
              <w:t>问题响应机制</w:t>
            </w:r>
          </w:p>
        </w:tc>
        <w:tc>
          <w:tcPr>
            <w:tcW w:type="dxa" w:w="2492"/>
          </w:tcPr>
          <w:p>
            <w:pPr>
              <w:pStyle w:val="null3"/>
            </w:pPr>
            <w:r>
              <w:rPr>
                <w:rFonts w:ascii="仿宋_GB2312" w:hAnsi="仿宋_GB2312" w:cs="仿宋_GB2312" w:eastAsia="仿宋_GB2312"/>
              </w:rPr>
              <w:t>1.评审内容：方案需包含明确的问题响应机制。 2.评审标准： ①基础分值：内容无缺陷得4分。 ②缺陷扣分：每存在1处缺陷扣1分，扣完4分为止。 ③缺陷定义：a.内容不完整。b.描述模糊。c.套用其他项目内容。d.存在不可能情形。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6.问题响应机制.docx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1.评审内容：方案需包含针对项目开展的突发事件应急预案。 2.评审标准： ①基础分值：内容无缺陷得4分。 ②缺陷扣分：每存在1处缺陷扣1分，扣完4分为止。 ③缺陷定义：a.内容不完整。b.描述模糊。c.套用其他项目内容。d.存在不可能情形。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7.突发事件应急预案.docx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价格权值%×100（磋商小组认为供应商的最终报价明显低于其他通过符合性审查供应商的报价，有可能影响项目质量或者不能诚信履约的，应当在磋商现场提供书面说明及相关证明材料。供应商不能证明其报价合理性的，为无效磋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详见附件：近年类似项目业绩.docx</w:t>
      </w:r>
    </w:p>
    <w:p>
      <w:pPr>
        <w:pStyle w:val="null3"/>
        <w:ind w:firstLine="960"/>
      </w:pPr>
      <w:r>
        <w:rPr>
          <w:rFonts w:ascii="仿宋_GB2312" w:hAnsi="仿宋_GB2312" w:cs="仿宋_GB2312" w:eastAsia="仿宋_GB2312"/>
        </w:rPr>
        <w:t>详见附件：项目负责人简历表.docx</w:t>
      </w:r>
    </w:p>
    <w:p>
      <w:pPr>
        <w:pStyle w:val="null3"/>
        <w:ind w:firstLine="960"/>
      </w:pPr>
      <w:r>
        <w:rPr>
          <w:rFonts w:ascii="仿宋_GB2312" w:hAnsi="仿宋_GB2312" w:cs="仿宋_GB2312" w:eastAsia="仿宋_GB2312"/>
        </w:rPr>
        <w:t>详见附件：项目团队人员配备表.docx</w:t>
      </w:r>
    </w:p>
    <w:p>
      <w:pPr>
        <w:pStyle w:val="null3"/>
        <w:ind w:firstLine="960"/>
      </w:pPr>
      <w:r>
        <w:rPr>
          <w:rFonts w:ascii="仿宋_GB2312" w:hAnsi="仿宋_GB2312" w:cs="仿宋_GB2312" w:eastAsia="仿宋_GB2312"/>
        </w:rPr>
        <w:t>详见附件：1.项目理解与关键点分析.docx</w:t>
      </w:r>
    </w:p>
    <w:p>
      <w:pPr>
        <w:pStyle w:val="null3"/>
        <w:ind w:firstLine="960"/>
      </w:pPr>
      <w:r>
        <w:rPr>
          <w:rFonts w:ascii="仿宋_GB2312" w:hAnsi="仿宋_GB2312" w:cs="仿宋_GB2312" w:eastAsia="仿宋_GB2312"/>
        </w:rPr>
        <w:t>详见附件：2.工作内容与方法.docx</w:t>
      </w:r>
    </w:p>
    <w:p>
      <w:pPr>
        <w:pStyle w:val="null3"/>
        <w:ind w:firstLine="960"/>
      </w:pPr>
      <w:r>
        <w:rPr>
          <w:rFonts w:ascii="仿宋_GB2312" w:hAnsi="仿宋_GB2312" w:cs="仿宋_GB2312" w:eastAsia="仿宋_GB2312"/>
        </w:rPr>
        <w:t>详见附件：3.进度计划与保障.docx</w:t>
      </w:r>
    </w:p>
    <w:p>
      <w:pPr>
        <w:pStyle w:val="null3"/>
        <w:ind w:firstLine="960"/>
      </w:pPr>
      <w:r>
        <w:rPr>
          <w:rFonts w:ascii="仿宋_GB2312" w:hAnsi="仿宋_GB2312" w:cs="仿宋_GB2312" w:eastAsia="仿宋_GB2312"/>
        </w:rPr>
        <w:t>详见附件：4.全过程质量管控措施.docx</w:t>
      </w:r>
    </w:p>
    <w:p>
      <w:pPr>
        <w:pStyle w:val="null3"/>
        <w:ind w:firstLine="960"/>
      </w:pPr>
      <w:r>
        <w:rPr>
          <w:rFonts w:ascii="仿宋_GB2312" w:hAnsi="仿宋_GB2312" w:cs="仿宋_GB2312" w:eastAsia="仿宋_GB2312"/>
        </w:rPr>
        <w:t>详见附件：5.技术服务与指导计划.docx</w:t>
      </w:r>
    </w:p>
    <w:p>
      <w:pPr>
        <w:pStyle w:val="null3"/>
        <w:ind w:firstLine="960"/>
      </w:pPr>
      <w:r>
        <w:rPr>
          <w:rFonts w:ascii="仿宋_GB2312" w:hAnsi="仿宋_GB2312" w:cs="仿宋_GB2312" w:eastAsia="仿宋_GB2312"/>
        </w:rPr>
        <w:t>详见附件：6.问题响应机制.docx</w:t>
      </w:r>
    </w:p>
    <w:p>
      <w:pPr>
        <w:pStyle w:val="null3"/>
        <w:ind w:firstLine="960"/>
      </w:pPr>
      <w:r>
        <w:rPr>
          <w:rFonts w:ascii="仿宋_GB2312" w:hAnsi="仿宋_GB2312" w:cs="仿宋_GB2312" w:eastAsia="仿宋_GB2312"/>
        </w:rPr>
        <w:t>详见附件：7.突发事件应急预案.docx</w:t>
      </w:r>
    </w:p>
    <w:p>
      <w:pPr>
        <w:pStyle w:val="null3"/>
        <w:ind w:firstLine="960"/>
      </w:pPr>
      <w:r>
        <w:rPr>
          <w:rFonts w:ascii="仿宋_GB2312" w:hAnsi="仿宋_GB2312" w:cs="仿宋_GB2312" w:eastAsia="仿宋_GB2312"/>
        </w:rPr>
        <w:t>详见附件：承诺函.docx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详见附件：技术服务合同.docx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