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2F269">
      <w:pPr>
        <w:spacing w:line="360" w:lineRule="auto"/>
        <w:ind w:firstLine="6354" w:firstLineChars="2637"/>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合同编号：</w:t>
      </w:r>
    </w:p>
    <w:p w14:paraId="45EF0D30">
      <w:pPr>
        <w:rPr>
          <w:rFonts w:hint="eastAsia" w:ascii="宋体" w:hAnsi="宋体" w:eastAsia="宋体" w:cs="宋体"/>
          <w:highlight w:val="none"/>
          <w:lang w:eastAsia="zh-CN"/>
        </w:rPr>
      </w:pPr>
    </w:p>
    <w:p w14:paraId="72102397">
      <w:pPr>
        <w:rPr>
          <w:rFonts w:hint="eastAsia" w:ascii="宋体" w:hAnsi="宋体" w:eastAsia="宋体" w:cs="宋体"/>
          <w:highlight w:val="none"/>
          <w:lang w:eastAsia="zh-CN"/>
        </w:rPr>
      </w:pPr>
    </w:p>
    <w:p w14:paraId="40EB1ECD">
      <w:pPr>
        <w:jc w:val="center"/>
        <w:rPr>
          <w:rFonts w:hint="eastAsia" w:ascii="宋体" w:hAnsi="宋体" w:eastAsia="宋体" w:cs="宋体"/>
          <w:b/>
          <w:bCs/>
          <w:sz w:val="52"/>
          <w:szCs w:val="52"/>
          <w:highlight w:val="none"/>
          <w:lang w:eastAsia="zh-CN"/>
        </w:rPr>
      </w:pPr>
    </w:p>
    <w:p w14:paraId="7DFE83AC">
      <w:pPr>
        <w:jc w:val="center"/>
        <w:rPr>
          <w:rFonts w:hint="eastAsia" w:ascii="宋体" w:hAnsi="宋体" w:eastAsia="宋体" w:cs="宋体"/>
          <w:b/>
          <w:bCs/>
          <w:sz w:val="52"/>
          <w:szCs w:val="52"/>
          <w:highlight w:val="none"/>
          <w:lang w:eastAsia="zh-CN"/>
        </w:rPr>
      </w:pPr>
    </w:p>
    <w:p w14:paraId="46BD9D74">
      <w:pPr>
        <w:jc w:val="center"/>
        <w:rPr>
          <w:rFonts w:hint="eastAsia" w:ascii="宋体" w:hAnsi="宋体" w:eastAsia="宋体" w:cs="宋体"/>
          <w:b/>
          <w:bCs/>
          <w:sz w:val="52"/>
          <w:szCs w:val="52"/>
          <w:highlight w:val="none"/>
        </w:rPr>
      </w:pPr>
      <w:r>
        <w:rPr>
          <w:rFonts w:hint="eastAsia" w:ascii="宋体" w:hAnsi="宋体" w:eastAsia="宋体" w:cs="宋体"/>
          <w:b/>
          <w:bCs/>
          <w:sz w:val="52"/>
          <w:szCs w:val="52"/>
          <w:highlight w:val="none"/>
          <w:lang w:eastAsia="zh-CN"/>
        </w:rPr>
        <w:t>残疾人辅具购买</w:t>
      </w:r>
    </w:p>
    <w:p w14:paraId="006B4C80">
      <w:pPr>
        <w:jc w:val="both"/>
        <w:rPr>
          <w:rFonts w:hint="eastAsia" w:ascii="宋体" w:hAnsi="宋体" w:eastAsia="宋体" w:cs="宋体"/>
          <w:b/>
          <w:sz w:val="52"/>
          <w:szCs w:val="52"/>
          <w:highlight w:val="none"/>
        </w:rPr>
      </w:pPr>
    </w:p>
    <w:p w14:paraId="2AEC4FFE">
      <w:pPr>
        <w:jc w:val="center"/>
        <w:rPr>
          <w:rFonts w:hint="eastAsia" w:ascii="宋体" w:hAnsi="宋体" w:eastAsia="宋体" w:cs="宋体"/>
          <w:b/>
          <w:sz w:val="52"/>
          <w:szCs w:val="52"/>
          <w:highlight w:val="none"/>
        </w:rPr>
      </w:pPr>
    </w:p>
    <w:p w14:paraId="4E33CC92">
      <w:pPr>
        <w:jc w:val="center"/>
        <w:rPr>
          <w:rFonts w:hint="eastAsia" w:ascii="宋体" w:hAnsi="宋体" w:eastAsia="宋体" w:cs="宋体"/>
          <w:b/>
          <w:sz w:val="52"/>
          <w:szCs w:val="52"/>
          <w:highlight w:val="none"/>
        </w:rPr>
      </w:pPr>
    </w:p>
    <w:p w14:paraId="5EE412DD">
      <w:pPr>
        <w:jc w:val="center"/>
        <w:rPr>
          <w:rFonts w:hint="eastAsia" w:ascii="宋体" w:hAnsi="宋体" w:eastAsia="宋体" w:cs="宋体"/>
          <w:highlight w:val="none"/>
        </w:rPr>
      </w:pPr>
      <w:r>
        <w:rPr>
          <w:rFonts w:hint="eastAsia" w:ascii="宋体" w:hAnsi="宋体" w:eastAsia="宋体" w:cs="宋体"/>
          <w:b/>
          <w:sz w:val="52"/>
          <w:szCs w:val="52"/>
          <w:highlight w:val="none"/>
        </w:rPr>
        <w:t>合同书</w:t>
      </w:r>
    </w:p>
    <w:p w14:paraId="60801065">
      <w:pPr>
        <w:spacing w:line="360" w:lineRule="auto"/>
        <w:ind w:left="1469" w:hanging="1469" w:hangingChars="400"/>
        <w:jc w:val="center"/>
        <w:rPr>
          <w:rFonts w:hint="eastAsia" w:ascii="宋体" w:hAnsi="宋体" w:eastAsia="宋体" w:cs="宋体"/>
          <w:b/>
          <w:color w:val="auto"/>
          <w:spacing w:val="23"/>
          <w:sz w:val="32"/>
          <w:szCs w:val="32"/>
          <w:highlight w:val="none"/>
        </w:rPr>
      </w:pPr>
    </w:p>
    <w:p w14:paraId="480B9DF6">
      <w:pPr>
        <w:spacing w:line="360" w:lineRule="auto"/>
        <w:ind w:left="1469" w:hanging="1469" w:hangingChars="400"/>
        <w:jc w:val="center"/>
        <w:rPr>
          <w:rFonts w:hint="eastAsia" w:ascii="宋体" w:hAnsi="宋体" w:eastAsia="宋体" w:cs="宋体"/>
          <w:b/>
          <w:color w:val="auto"/>
          <w:spacing w:val="23"/>
          <w:sz w:val="32"/>
          <w:szCs w:val="32"/>
          <w:highlight w:val="none"/>
        </w:rPr>
      </w:pPr>
    </w:p>
    <w:p w14:paraId="5787A3AE">
      <w:pPr>
        <w:spacing w:line="360" w:lineRule="auto"/>
        <w:ind w:left="1469" w:hanging="1469" w:hangingChars="400"/>
        <w:jc w:val="center"/>
        <w:rPr>
          <w:rFonts w:hint="eastAsia" w:ascii="宋体" w:hAnsi="宋体" w:eastAsia="宋体" w:cs="宋体"/>
          <w:b/>
          <w:color w:val="auto"/>
          <w:spacing w:val="23"/>
          <w:sz w:val="32"/>
          <w:szCs w:val="32"/>
          <w:highlight w:val="none"/>
        </w:rPr>
      </w:pPr>
    </w:p>
    <w:p w14:paraId="50387982">
      <w:pPr>
        <w:spacing w:line="360" w:lineRule="auto"/>
        <w:ind w:left="1469" w:hanging="1469" w:hangingChars="400"/>
        <w:jc w:val="center"/>
        <w:rPr>
          <w:rFonts w:hint="eastAsia" w:ascii="宋体" w:hAnsi="宋体" w:eastAsia="宋体" w:cs="宋体"/>
          <w:b/>
          <w:color w:val="auto"/>
          <w:spacing w:val="23"/>
          <w:sz w:val="32"/>
          <w:szCs w:val="32"/>
          <w:highlight w:val="none"/>
        </w:rPr>
      </w:pPr>
    </w:p>
    <w:p w14:paraId="436A9860">
      <w:pPr>
        <w:spacing w:line="360" w:lineRule="auto"/>
        <w:ind w:left="1342" w:leftChars="639" w:firstLine="0" w:firstLineChars="0"/>
        <w:jc w:val="both"/>
        <w:rPr>
          <w:rFonts w:hint="eastAsia" w:ascii="宋体" w:hAnsi="宋体" w:eastAsia="宋体" w:cs="宋体"/>
          <w:b/>
          <w:color w:val="auto"/>
          <w:spacing w:val="23"/>
          <w:sz w:val="32"/>
          <w:szCs w:val="32"/>
          <w:highlight w:val="none"/>
          <w:lang w:val="en-US" w:eastAsia="zh-CN"/>
        </w:rPr>
      </w:pPr>
      <w:r>
        <w:rPr>
          <w:rFonts w:hint="eastAsia" w:ascii="宋体" w:hAnsi="宋体" w:eastAsia="宋体" w:cs="宋体"/>
          <w:b/>
          <w:color w:val="auto"/>
          <w:spacing w:val="23"/>
          <w:sz w:val="32"/>
          <w:szCs w:val="32"/>
          <w:highlight w:val="none"/>
        </w:rPr>
        <w:t>甲方(采购人)：</w:t>
      </w:r>
      <w:r>
        <w:rPr>
          <w:rFonts w:hint="eastAsia" w:ascii="宋体" w:hAnsi="宋体" w:eastAsia="宋体" w:cs="宋体"/>
          <w:b/>
          <w:color w:val="auto"/>
          <w:spacing w:val="23"/>
          <w:sz w:val="32"/>
          <w:szCs w:val="32"/>
          <w:highlight w:val="none"/>
          <w:u w:val="single"/>
          <w:lang w:val="en-US" w:eastAsia="zh-CN"/>
        </w:rPr>
        <w:t xml:space="preserve">             </w:t>
      </w:r>
    </w:p>
    <w:p w14:paraId="7B817376">
      <w:pPr>
        <w:spacing w:line="360" w:lineRule="auto"/>
        <w:ind w:left="1342" w:leftChars="639" w:firstLine="0" w:firstLineChars="0"/>
        <w:jc w:val="both"/>
        <w:rPr>
          <w:rFonts w:hint="eastAsia" w:ascii="宋体" w:hAnsi="宋体" w:eastAsia="宋体" w:cs="宋体"/>
          <w:color w:val="auto"/>
          <w:spacing w:val="23"/>
          <w:sz w:val="28"/>
          <w:szCs w:val="28"/>
          <w:highlight w:val="none"/>
          <w:u w:val="single"/>
          <w:lang w:val="en-US" w:eastAsia="zh-CN"/>
        </w:rPr>
      </w:pPr>
      <w:r>
        <w:rPr>
          <w:rFonts w:hint="eastAsia" w:ascii="宋体" w:hAnsi="宋体" w:eastAsia="宋体" w:cs="宋体"/>
          <w:b/>
          <w:color w:val="auto"/>
          <w:spacing w:val="23"/>
          <w:sz w:val="32"/>
          <w:szCs w:val="32"/>
          <w:highlight w:val="none"/>
        </w:rPr>
        <w:fldChar w:fldCharType="begin"/>
      </w:r>
      <w:r>
        <w:rPr>
          <w:rFonts w:hint="eastAsia" w:ascii="宋体" w:hAnsi="宋体" w:eastAsia="宋体" w:cs="宋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pacing w:val="23"/>
          <w:sz w:val="32"/>
          <w:szCs w:val="32"/>
          <w:highlight w:val="none"/>
        </w:rPr>
        <w:fldChar w:fldCharType="separate"/>
      </w:r>
      <w:r>
        <w:rPr>
          <w:rFonts w:hint="eastAsia" w:ascii="宋体" w:hAnsi="宋体" w:eastAsia="宋体" w:cs="宋体"/>
          <w:b/>
          <w:color w:val="auto"/>
          <w:spacing w:val="23"/>
          <w:sz w:val="32"/>
          <w:szCs w:val="32"/>
          <w:highlight w:val="none"/>
        </w:rPr>
        <w:t>乙方</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(供应商)：</w:t>
      </w:r>
      <w:r>
        <w:rPr>
          <w:rFonts w:hint="eastAsia" w:ascii="宋体" w:hAnsi="宋体" w:eastAsia="宋体" w:cs="宋体"/>
          <w:color w:val="auto"/>
          <w:spacing w:val="23"/>
          <w:sz w:val="28"/>
          <w:szCs w:val="28"/>
          <w:highlight w:val="none"/>
          <w:u w:val="single"/>
          <w:lang w:val="en-US" w:eastAsia="zh-CN"/>
        </w:rPr>
        <w:t xml:space="preserve">               </w:t>
      </w:r>
    </w:p>
    <w:p w14:paraId="005A203D">
      <w:pPr>
        <w:spacing w:line="360" w:lineRule="auto"/>
        <w:ind w:left="1342" w:leftChars="639" w:firstLine="0" w:firstLineChars="0"/>
        <w:jc w:val="both"/>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签订时间：</w:t>
      </w:r>
      <w:r>
        <w:rPr>
          <w:rFonts w:hint="eastAsia" w:ascii="宋体" w:hAnsi="宋体" w:eastAsia="宋体" w:cs="宋体"/>
          <w:b/>
          <w:color w:val="auto"/>
          <w:spacing w:val="23"/>
          <w:sz w:val="32"/>
          <w:szCs w:val="32"/>
          <w:highlight w:val="none"/>
          <w:u w:val="single"/>
          <w:lang w:val="en-US" w:eastAsia="zh-CN"/>
        </w:rPr>
        <w:t xml:space="preserve">    </w:t>
      </w:r>
      <w:r>
        <w:rPr>
          <w:rFonts w:hint="eastAsia" w:ascii="宋体" w:hAnsi="宋体" w:eastAsia="宋体" w:cs="宋体"/>
          <w:b/>
          <w:color w:val="auto"/>
          <w:spacing w:val="23"/>
          <w:sz w:val="32"/>
          <w:szCs w:val="32"/>
          <w:highlight w:val="none"/>
        </w:rPr>
        <w:t>年</w:t>
      </w:r>
      <w:r>
        <w:rPr>
          <w:rFonts w:hint="eastAsia" w:ascii="宋体" w:hAnsi="宋体" w:eastAsia="宋体" w:cs="宋体"/>
          <w:b/>
          <w:color w:val="auto"/>
          <w:spacing w:val="23"/>
          <w:sz w:val="32"/>
          <w:szCs w:val="32"/>
          <w:highlight w:val="none"/>
          <w:u w:val="single"/>
          <w:lang w:val="en-US" w:eastAsia="zh-CN"/>
        </w:rPr>
        <w:t xml:space="preserve">    </w:t>
      </w:r>
      <w:r>
        <w:rPr>
          <w:rFonts w:hint="eastAsia" w:ascii="宋体" w:hAnsi="宋体" w:eastAsia="宋体" w:cs="宋体"/>
          <w:b/>
          <w:color w:val="auto"/>
          <w:spacing w:val="23"/>
          <w:sz w:val="32"/>
          <w:szCs w:val="32"/>
          <w:highlight w:val="none"/>
        </w:rPr>
        <w:t>月</w:t>
      </w:r>
      <w:r>
        <w:rPr>
          <w:rFonts w:hint="eastAsia" w:ascii="宋体" w:hAnsi="宋体" w:eastAsia="宋体" w:cs="宋体"/>
          <w:b/>
          <w:color w:val="auto"/>
          <w:spacing w:val="23"/>
          <w:sz w:val="32"/>
          <w:szCs w:val="32"/>
          <w:highlight w:val="none"/>
          <w:u w:val="single"/>
          <w:lang w:val="en-US" w:eastAsia="zh-CN"/>
        </w:rPr>
        <w:t xml:space="preserve">    </w:t>
      </w:r>
      <w:r>
        <w:rPr>
          <w:rFonts w:hint="eastAsia" w:ascii="宋体" w:hAnsi="宋体" w:eastAsia="宋体" w:cs="宋体"/>
          <w:b/>
          <w:color w:val="auto"/>
          <w:spacing w:val="23"/>
          <w:sz w:val="32"/>
          <w:szCs w:val="32"/>
          <w:highlight w:val="none"/>
        </w:rPr>
        <w:t>日</w:t>
      </w:r>
    </w:p>
    <w:p w14:paraId="4B9142C3">
      <w:pPr>
        <w:spacing w:line="360" w:lineRule="auto"/>
        <w:jc w:val="both"/>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br w:type="page"/>
      </w:r>
    </w:p>
    <w:p w14:paraId="00C00DAD">
      <w:pPr>
        <w:spacing w:line="360" w:lineRule="auto"/>
        <w:jc w:val="center"/>
        <w:rPr>
          <w:rFonts w:hint="eastAsia" w:ascii="宋体" w:hAnsi="宋体" w:eastAsia="宋体" w:cs="宋体"/>
          <w:b/>
          <w:color w:val="auto"/>
          <w:spacing w:val="23"/>
          <w:sz w:val="32"/>
          <w:szCs w:val="32"/>
          <w:highlight w:val="red"/>
        </w:rPr>
      </w:pPr>
      <w:r>
        <w:rPr>
          <w:rFonts w:hint="eastAsia" w:ascii="宋体" w:hAnsi="宋体" w:eastAsia="宋体" w:cs="宋体"/>
          <w:b/>
          <w:bCs/>
          <w:color w:val="000000"/>
          <w:sz w:val="32"/>
          <w:szCs w:val="32"/>
          <w:highlight w:val="none"/>
        </w:rPr>
        <w:t>采</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rPr>
        <w:t>购</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rPr>
        <w:t>合</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rPr>
        <w:t>同</w:t>
      </w:r>
    </w:p>
    <w:p w14:paraId="1B2E1A55">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甲方(采购人)：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26935B4B">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乙方</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75C6869E">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按照招标采购程序组织公开招标，确定乙方为</w:t>
      </w:r>
      <w:r>
        <w:rPr>
          <w:rFonts w:hint="eastAsia" w:ascii="宋体" w:hAnsi="宋体" w:eastAsia="宋体" w:cs="宋体"/>
          <w:bCs/>
          <w:sz w:val="24"/>
          <w:szCs w:val="24"/>
          <w:lang w:eastAsia="zh-CN"/>
        </w:rPr>
        <w:t>中标</w:t>
      </w:r>
      <w:r>
        <w:rPr>
          <w:rFonts w:hint="eastAsia" w:ascii="宋体" w:hAnsi="宋体" w:eastAsia="宋体" w:cs="宋体"/>
          <w:bCs/>
          <w:sz w:val="24"/>
          <w:szCs w:val="24"/>
        </w:rPr>
        <w:t>供应商。依据《中华人民共和国政府采购法》、《中华人民共和国民法典》以及招标文件、</w:t>
      </w:r>
      <w:r>
        <w:rPr>
          <w:rFonts w:hint="eastAsia" w:ascii="宋体" w:hAnsi="宋体" w:eastAsia="宋体" w:cs="宋体"/>
          <w:bCs/>
          <w:sz w:val="24"/>
          <w:szCs w:val="24"/>
          <w:lang w:eastAsia="zh-CN"/>
        </w:rPr>
        <w:t>中标</w:t>
      </w:r>
      <w:r>
        <w:rPr>
          <w:rFonts w:hint="eastAsia" w:ascii="宋体" w:hAnsi="宋体" w:eastAsia="宋体" w:cs="宋体"/>
          <w:bCs/>
          <w:sz w:val="24"/>
          <w:szCs w:val="24"/>
        </w:rPr>
        <w:t>供应商投标文件正本和澄清表（函）</w:t>
      </w:r>
      <w:r>
        <w:rPr>
          <w:rFonts w:hint="eastAsia" w:ascii="宋体" w:hAnsi="宋体" w:eastAsia="宋体" w:cs="宋体"/>
          <w:bCs/>
          <w:sz w:val="24"/>
          <w:szCs w:val="24"/>
          <w:lang w:eastAsia="zh-CN"/>
        </w:rPr>
        <w:t>、中标</w:t>
      </w:r>
      <w:r>
        <w:rPr>
          <w:rFonts w:hint="eastAsia" w:ascii="宋体" w:hAnsi="宋体" w:eastAsia="宋体" w:cs="宋体"/>
          <w:bCs/>
          <w:sz w:val="24"/>
          <w:szCs w:val="24"/>
        </w:rPr>
        <w:t>通知书，经甲、乙双方协商确认，达成如下条款。</w:t>
      </w:r>
    </w:p>
    <w:p w14:paraId="6667B295">
      <w:pPr>
        <w:tabs>
          <w:tab w:val="left" w:pos="480"/>
        </w:tabs>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highlight w:val="none"/>
        </w:rPr>
        <w:t>一、合同标的物内容及数量</w:t>
      </w:r>
      <w:r>
        <w:rPr>
          <w:rFonts w:hint="eastAsia" w:ascii="宋体" w:hAnsi="宋体" w:eastAsia="宋体" w:cs="宋体"/>
          <w:sz w:val="24"/>
          <w:szCs w:val="24"/>
          <w:highlight w:val="none"/>
        </w:rPr>
        <w:t>（</w:t>
      </w:r>
      <w:r>
        <w:rPr>
          <w:rFonts w:hint="eastAsia" w:ascii="宋体" w:hAnsi="宋体" w:eastAsia="宋体" w:cs="宋体"/>
          <w:sz w:val="24"/>
          <w:szCs w:val="24"/>
        </w:rPr>
        <w:t>以投标文件正本和澄清表〈函〉为准）</w:t>
      </w:r>
    </w:p>
    <w:tbl>
      <w:tblPr>
        <w:tblStyle w:val="3"/>
        <w:tblW w:w="49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1330"/>
        <w:gridCol w:w="538"/>
        <w:gridCol w:w="706"/>
        <w:gridCol w:w="897"/>
        <w:gridCol w:w="699"/>
        <w:gridCol w:w="758"/>
        <w:gridCol w:w="758"/>
        <w:gridCol w:w="733"/>
        <w:gridCol w:w="710"/>
        <w:gridCol w:w="666"/>
      </w:tblGrid>
      <w:tr w14:paraId="19BF4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374" w:type="pct"/>
            <w:noWrap w:val="0"/>
            <w:vAlign w:val="center"/>
          </w:tcPr>
          <w:p w14:paraId="58151C17">
            <w:pPr>
              <w:pStyle w:val="2"/>
              <w:spacing w:line="460" w:lineRule="exact"/>
              <w:jc w:val="center"/>
              <w:rPr>
                <w:rFonts w:hint="eastAsia" w:hAnsi="宋体"/>
                <w:color w:val="auto"/>
                <w:spacing w:val="-20"/>
                <w:sz w:val="24"/>
                <w:szCs w:val="24"/>
                <w:highlight w:val="none"/>
              </w:rPr>
            </w:pPr>
            <w:r>
              <w:rPr>
                <w:rFonts w:hint="eastAsia" w:hAnsi="宋体"/>
                <w:color w:val="auto"/>
                <w:spacing w:val="-20"/>
                <w:sz w:val="24"/>
                <w:szCs w:val="24"/>
                <w:highlight w:val="none"/>
              </w:rPr>
              <w:t>序号</w:t>
            </w:r>
          </w:p>
        </w:tc>
        <w:tc>
          <w:tcPr>
            <w:tcW w:w="789" w:type="pct"/>
            <w:noWrap w:val="0"/>
            <w:vAlign w:val="center"/>
          </w:tcPr>
          <w:p w14:paraId="62E917F0">
            <w:pPr>
              <w:pStyle w:val="2"/>
              <w:spacing w:line="460" w:lineRule="exact"/>
              <w:jc w:val="center"/>
              <w:rPr>
                <w:rFonts w:hint="eastAsia" w:hAnsi="宋体"/>
                <w:color w:val="auto"/>
                <w:sz w:val="24"/>
                <w:szCs w:val="24"/>
                <w:highlight w:val="none"/>
              </w:rPr>
            </w:pPr>
            <w:r>
              <w:rPr>
                <w:rFonts w:hint="eastAsia" w:hAnsi="宋体"/>
                <w:color w:val="auto"/>
                <w:sz w:val="24"/>
                <w:szCs w:val="24"/>
                <w:highlight w:val="none"/>
              </w:rPr>
              <w:t>产品名称</w:t>
            </w:r>
          </w:p>
        </w:tc>
        <w:tc>
          <w:tcPr>
            <w:tcW w:w="319" w:type="pct"/>
            <w:noWrap w:val="0"/>
            <w:vAlign w:val="center"/>
          </w:tcPr>
          <w:p w14:paraId="4C34C5EA">
            <w:pPr>
              <w:pStyle w:val="2"/>
              <w:spacing w:line="460" w:lineRule="exact"/>
              <w:jc w:val="center"/>
              <w:rPr>
                <w:rFonts w:hint="eastAsia" w:hAnsi="宋体"/>
                <w:color w:val="auto"/>
                <w:sz w:val="24"/>
                <w:szCs w:val="24"/>
                <w:highlight w:val="none"/>
              </w:rPr>
            </w:pPr>
            <w:r>
              <w:rPr>
                <w:rFonts w:hint="eastAsia" w:hAnsi="宋体"/>
                <w:color w:val="auto"/>
                <w:sz w:val="24"/>
                <w:szCs w:val="24"/>
                <w:highlight w:val="none"/>
              </w:rPr>
              <w:t>品牌</w:t>
            </w:r>
          </w:p>
        </w:tc>
        <w:tc>
          <w:tcPr>
            <w:tcW w:w="419" w:type="pct"/>
            <w:noWrap w:val="0"/>
            <w:vAlign w:val="center"/>
          </w:tcPr>
          <w:p w14:paraId="25A5ACAF">
            <w:pPr>
              <w:pStyle w:val="2"/>
              <w:spacing w:line="460" w:lineRule="exact"/>
              <w:jc w:val="center"/>
              <w:rPr>
                <w:rFonts w:hint="eastAsia" w:hAnsi="宋体"/>
                <w:color w:val="auto"/>
                <w:spacing w:val="-20"/>
                <w:sz w:val="24"/>
                <w:szCs w:val="24"/>
                <w:highlight w:val="none"/>
              </w:rPr>
            </w:pPr>
            <w:r>
              <w:rPr>
                <w:rFonts w:hint="eastAsia" w:hAnsi="宋体"/>
                <w:color w:val="auto"/>
                <w:sz w:val="24"/>
                <w:szCs w:val="24"/>
                <w:highlight w:val="none"/>
              </w:rPr>
              <w:t>规格型号</w:t>
            </w:r>
          </w:p>
        </w:tc>
        <w:tc>
          <w:tcPr>
            <w:tcW w:w="532" w:type="pct"/>
            <w:noWrap w:val="0"/>
            <w:vAlign w:val="center"/>
          </w:tcPr>
          <w:p w14:paraId="6656F75D">
            <w:pPr>
              <w:pStyle w:val="2"/>
              <w:spacing w:line="460" w:lineRule="exact"/>
              <w:jc w:val="center"/>
              <w:rPr>
                <w:rFonts w:hint="eastAsia" w:hAnsi="宋体" w:eastAsia="宋体"/>
                <w:color w:val="auto"/>
                <w:spacing w:val="-20"/>
                <w:sz w:val="24"/>
                <w:szCs w:val="24"/>
                <w:highlight w:val="none"/>
                <w:lang w:eastAsia="zh-CN"/>
              </w:rPr>
            </w:pPr>
            <w:r>
              <w:rPr>
                <w:rFonts w:hint="eastAsia" w:hAnsi="宋体"/>
                <w:color w:val="auto"/>
                <w:spacing w:val="-20"/>
                <w:sz w:val="24"/>
                <w:szCs w:val="24"/>
                <w:highlight w:val="none"/>
                <w:lang w:eastAsia="zh-CN"/>
              </w:rPr>
              <w:t>生产厂家</w:t>
            </w:r>
          </w:p>
        </w:tc>
        <w:tc>
          <w:tcPr>
            <w:tcW w:w="415" w:type="pct"/>
            <w:noWrap w:val="0"/>
            <w:vAlign w:val="center"/>
          </w:tcPr>
          <w:p w14:paraId="0E9C3D71">
            <w:pPr>
              <w:pStyle w:val="2"/>
              <w:spacing w:line="460" w:lineRule="exact"/>
              <w:jc w:val="center"/>
              <w:rPr>
                <w:rFonts w:hint="eastAsia" w:hAnsi="宋体"/>
                <w:color w:val="auto"/>
                <w:sz w:val="24"/>
                <w:szCs w:val="24"/>
                <w:highlight w:val="none"/>
              </w:rPr>
            </w:pPr>
            <w:r>
              <w:rPr>
                <w:rFonts w:hint="eastAsia" w:hAnsi="宋体"/>
                <w:color w:val="auto"/>
                <w:spacing w:val="-20"/>
                <w:sz w:val="24"/>
                <w:szCs w:val="24"/>
                <w:highlight w:val="none"/>
              </w:rPr>
              <w:t>产地</w:t>
            </w:r>
          </w:p>
        </w:tc>
        <w:tc>
          <w:tcPr>
            <w:tcW w:w="450" w:type="pct"/>
            <w:noWrap w:val="0"/>
            <w:vAlign w:val="center"/>
          </w:tcPr>
          <w:p w14:paraId="60C6046F">
            <w:pPr>
              <w:pStyle w:val="2"/>
              <w:spacing w:line="460" w:lineRule="exact"/>
              <w:ind w:firstLine="120" w:firstLineChars="50"/>
              <w:rPr>
                <w:rFonts w:hint="eastAsia" w:hAnsi="宋体"/>
                <w:color w:val="auto"/>
                <w:sz w:val="24"/>
                <w:szCs w:val="24"/>
                <w:highlight w:val="none"/>
              </w:rPr>
            </w:pPr>
            <w:r>
              <w:rPr>
                <w:rFonts w:hint="eastAsia" w:hAnsi="宋体"/>
                <w:color w:val="auto"/>
                <w:sz w:val="24"/>
                <w:szCs w:val="24"/>
                <w:highlight w:val="none"/>
              </w:rPr>
              <w:t>单位</w:t>
            </w:r>
          </w:p>
        </w:tc>
        <w:tc>
          <w:tcPr>
            <w:tcW w:w="450" w:type="pct"/>
            <w:noWrap w:val="0"/>
            <w:vAlign w:val="center"/>
          </w:tcPr>
          <w:p w14:paraId="00CAD956">
            <w:pPr>
              <w:pStyle w:val="2"/>
              <w:spacing w:line="460" w:lineRule="exact"/>
              <w:ind w:firstLine="120" w:firstLineChars="50"/>
              <w:rPr>
                <w:rFonts w:hint="eastAsia" w:hAnsi="宋体"/>
                <w:color w:val="auto"/>
                <w:sz w:val="24"/>
                <w:szCs w:val="24"/>
                <w:highlight w:val="none"/>
              </w:rPr>
            </w:pPr>
            <w:r>
              <w:rPr>
                <w:rFonts w:hint="eastAsia" w:hAnsi="宋体"/>
                <w:color w:val="auto"/>
                <w:sz w:val="24"/>
                <w:szCs w:val="24"/>
                <w:highlight w:val="none"/>
              </w:rPr>
              <w:t>数量</w:t>
            </w:r>
          </w:p>
        </w:tc>
        <w:tc>
          <w:tcPr>
            <w:tcW w:w="435" w:type="pct"/>
            <w:noWrap w:val="0"/>
            <w:vAlign w:val="center"/>
          </w:tcPr>
          <w:p w14:paraId="75764BD3">
            <w:pPr>
              <w:pStyle w:val="2"/>
              <w:spacing w:line="460" w:lineRule="exact"/>
              <w:jc w:val="center"/>
              <w:rPr>
                <w:rFonts w:hAnsi="宋体"/>
                <w:color w:val="auto"/>
                <w:sz w:val="24"/>
                <w:szCs w:val="24"/>
                <w:highlight w:val="none"/>
              </w:rPr>
            </w:pPr>
            <w:r>
              <w:rPr>
                <w:rFonts w:hint="eastAsia" w:hAnsi="宋体"/>
                <w:color w:val="auto"/>
                <w:sz w:val="24"/>
                <w:szCs w:val="24"/>
                <w:highlight w:val="none"/>
              </w:rPr>
              <w:t>单价</w:t>
            </w:r>
          </w:p>
        </w:tc>
        <w:tc>
          <w:tcPr>
            <w:tcW w:w="421" w:type="pct"/>
            <w:noWrap w:val="0"/>
            <w:vAlign w:val="center"/>
          </w:tcPr>
          <w:p w14:paraId="76AB52AE">
            <w:pPr>
              <w:pStyle w:val="2"/>
              <w:spacing w:line="460" w:lineRule="exact"/>
              <w:jc w:val="center"/>
              <w:rPr>
                <w:rFonts w:hint="eastAsia" w:hAnsi="宋体"/>
                <w:color w:val="auto"/>
                <w:sz w:val="24"/>
                <w:szCs w:val="24"/>
                <w:highlight w:val="none"/>
              </w:rPr>
            </w:pPr>
            <w:r>
              <w:rPr>
                <w:rFonts w:hint="eastAsia" w:hAnsi="宋体"/>
                <w:color w:val="auto"/>
                <w:sz w:val="24"/>
                <w:szCs w:val="24"/>
                <w:highlight w:val="none"/>
              </w:rPr>
              <w:t>合计</w:t>
            </w:r>
          </w:p>
        </w:tc>
        <w:tc>
          <w:tcPr>
            <w:tcW w:w="394" w:type="pct"/>
            <w:noWrap w:val="0"/>
            <w:vAlign w:val="center"/>
          </w:tcPr>
          <w:p w14:paraId="50ED96A5">
            <w:pPr>
              <w:pStyle w:val="2"/>
              <w:spacing w:line="460" w:lineRule="exact"/>
              <w:jc w:val="center"/>
              <w:rPr>
                <w:rFonts w:hint="eastAsia" w:hAnsi="宋体" w:eastAsiaTheme="minorEastAsia"/>
                <w:color w:val="auto"/>
                <w:sz w:val="24"/>
                <w:szCs w:val="24"/>
                <w:highlight w:val="none"/>
                <w:lang w:eastAsia="zh-CN"/>
              </w:rPr>
            </w:pPr>
            <w:r>
              <w:rPr>
                <w:rFonts w:hint="eastAsia" w:hAnsi="宋体"/>
                <w:color w:val="auto"/>
                <w:sz w:val="24"/>
                <w:szCs w:val="24"/>
                <w:highlight w:val="none"/>
                <w:lang w:eastAsia="zh-CN"/>
              </w:rPr>
              <w:t>备注</w:t>
            </w:r>
          </w:p>
        </w:tc>
      </w:tr>
      <w:tr w14:paraId="4486E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74" w:type="pct"/>
            <w:noWrap w:val="0"/>
            <w:vAlign w:val="center"/>
          </w:tcPr>
          <w:p w14:paraId="3D404C29">
            <w:pPr>
              <w:jc w:val="center"/>
              <w:rPr>
                <w:rFonts w:hint="eastAsia" w:ascii="宋体" w:hAnsi="宋体"/>
                <w:color w:val="auto"/>
                <w:sz w:val="24"/>
                <w:highlight w:val="none"/>
              </w:rPr>
            </w:pPr>
            <w:r>
              <w:rPr>
                <w:rFonts w:hint="eastAsia" w:ascii="宋体" w:hAnsi="宋体"/>
                <w:color w:val="auto"/>
                <w:sz w:val="24"/>
                <w:highlight w:val="none"/>
              </w:rPr>
              <w:t>1</w:t>
            </w:r>
          </w:p>
        </w:tc>
        <w:tc>
          <w:tcPr>
            <w:tcW w:w="789" w:type="pct"/>
            <w:noWrap w:val="0"/>
            <w:vAlign w:val="center"/>
          </w:tcPr>
          <w:p w14:paraId="28AF9DA2">
            <w:pPr>
              <w:jc w:val="center"/>
              <w:rPr>
                <w:rFonts w:hint="eastAsia" w:ascii="宋体" w:hAnsi="宋体"/>
                <w:color w:val="auto"/>
                <w:sz w:val="24"/>
                <w:highlight w:val="none"/>
              </w:rPr>
            </w:pPr>
          </w:p>
        </w:tc>
        <w:tc>
          <w:tcPr>
            <w:tcW w:w="319" w:type="pct"/>
            <w:noWrap w:val="0"/>
            <w:vAlign w:val="center"/>
          </w:tcPr>
          <w:p w14:paraId="04BCF91C">
            <w:pPr>
              <w:jc w:val="center"/>
              <w:rPr>
                <w:rFonts w:hint="eastAsia" w:ascii="宋体" w:hAnsi="宋体"/>
                <w:color w:val="auto"/>
                <w:sz w:val="24"/>
                <w:highlight w:val="none"/>
              </w:rPr>
            </w:pPr>
          </w:p>
        </w:tc>
        <w:tc>
          <w:tcPr>
            <w:tcW w:w="419" w:type="pct"/>
            <w:noWrap w:val="0"/>
            <w:vAlign w:val="center"/>
          </w:tcPr>
          <w:p w14:paraId="4418194D">
            <w:pPr>
              <w:jc w:val="center"/>
              <w:rPr>
                <w:rFonts w:hint="eastAsia" w:ascii="宋体" w:hAnsi="宋体"/>
                <w:color w:val="auto"/>
                <w:sz w:val="24"/>
                <w:highlight w:val="none"/>
              </w:rPr>
            </w:pPr>
          </w:p>
        </w:tc>
        <w:tc>
          <w:tcPr>
            <w:tcW w:w="532" w:type="pct"/>
            <w:noWrap w:val="0"/>
            <w:vAlign w:val="center"/>
          </w:tcPr>
          <w:p w14:paraId="23552F76">
            <w:pPr>
              <w:pStyle w:val="2"/>
              <w:rPr>
                <w:rFonts w:hint="eastAsia" w:hAnsi="宋体"/>
                <w:color w:val="auto"/>
                <w:sz w:val="24"/>
                <w:szCs w:val="24"/>
                <w:highlight w:val="none"/>
              </w:rPr>
            </w:pPr>
          </w:p>
        </w:tc>
        <w:tc>
          <w:tcPr>
            <w:tcW w:w="415" w:type="pct"/>
            <w:noWrap w:val="0"/>
            <w:vAlign w:val="center"/>
          </w:tcPr>
          <w:p w14:paraId="3A931347">
            <w:pPr>
              <w:pStyle w:val="2"/>
              <w:rPr>
                <w:rFonts w:hint="eastAsia" w:hAnsi="宋体"/>
                <w:color w:val="auto"/>
                <w:sz w:val="24"/>
                <w:szCs w:val="24"/>
                <w:highlight w:val="none"/>
              </w:rPr>
            </w:pPr>
          </w:p>
        </w:tc>
        <w:tc>
          <w:tcPr>
            <w:tcW w:w="450" w:type="pct"/>
            <w:noWrap w:val="0"/>
            <w:vAlign w:val="center"/>
          </w:tcPr>
          <w:p w14:paraId="289AC963">
            <w:pPr>
              <w:pStyle w:val="2"/>
              <w:rPr>
                <w:rFonts w:hint="eastAsia" w:hAnsi="宋体"/>
                <w:color w:val="auto"/>
                <w:sz w:val="24"/>
                <w:szCs w:val="24"/>
                <w:highlight w:val="none"/>
              </w:rPr>
            </w:pPr>
          </w:p>
        </w:tc>
        <w:tc>
          <w:tcPr>
            <w:tcW w:w="450" w:type="pct"/>
            <w:noWrap w:val="0"/>
            <w:vAlign w:val="center"/>
          </w:tcPr>
          <w:p w14:paraId="0AAC2F9E">
            <w:pPr>
              <w:pStyle w:val="2"/>
              <w:rPr>
                <w:rFonts w:hint="eastAsia" w:hAnsi="宋体"/>
                <w:color w:val="auto"/>
                <w:sz w:val="24"/>
                <w:szCs w:val="24"/>
                <w:highlight w:val="none"/>
              </w:rPr>
            </w:pPr>
          </w:p>
        </w:tc>
        <w:tc>
          <w:tcPr>
            <w:tcW w:w="435" w:type="pct"/>
            <w:noWrap w:val="0"/>
            <w:vAlign w:val="center"/>
          </w:tcPr>
          <w:p w14:paraId="74012402">
            <w:pPr>
              <w:pStyle w:val="2"/>
              <w:rPr>
                <w:rFonts w:hint="eastAsia" w:hAnsi="宋体"/>
                <w:color w:val="auto"/>
                <w:sz w:val="24"/>
                <w:szCs w:val="24"/>
                <w:highlight w:val="none"/>
              </w:rPr>
            </w:pPr>
          </w:p>
        </w:tc>
        <w:tc>
          <w:tcPr>
            <w:tcW w:w="421" w:type="pct"/>
            <w:noWrap w:val="0"/>
            <w:vAlign w:val="center"/>
          </w:tcPr>
          <w:p w14:paraId="6CD17017">
            <w:pPr>
              <w:pStyle w:val="2"/>
              <w:rPr>
                <w:rFonts w:hint="eastAsia" w:hAnsi="宋体"/>
                <w:color w:val="auto"/>
                <w:spacing w:val="-6"/>
                <w:sz w:val="24"/>
                <w:szCs w:val="24"/>
                <w:highlight w:val="none"/>
              </w:rPr>
            </w:pPr>
          </w:p>
        </w:tc>
        <w:tc>
          <w:tcPr>
            <w:tcW w:w="394" w:type="pct"/>
            <w:noWrap w:val="0"/>
            <w:vAlign w:val="center"/>
          </w:tcPr>
          <w:p w14:paraId="52B5953B">
            <w:pPr>
              <w:pStyle w:val="2"/>
              <w:rPr>
                <w:rFonts w:hint="eastAsia" w:hAnsi="宋体"/>
                <w:color w:val="auto"/>
                <w:spacing w:val="-6"/>
                <w:sz w:val="24"/>
                <w:szCs w:val="24"/>
                <w:highlight w:val="none"/>
              </w:rPr>
            </w:pPr>
          </w:p>
        </w:tc>
      </w:tr>
      <w:tr w14:paraId="15693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74" w:type="pct"/>
            <w:noWrap w:val="0"/>
            <w:vAlign w:val="center"/>
          </w:tcPr>
          <w:p w14:paraId="40045ADD">
            <w:pPr>
              <w:jc w:val="center"/>
              <w:rPr>
                <w:rFonts w:hint="eastAsia" w:ascii="宋体" w:hAnsi="宋体"/>
                <w:color w:val="auto"/>
                <w:sz w:val="24"/>
                <w:highlight w:val="none"/>
              </w:rPr>
            </w:pPr>
            <w:r>
              <w:rPr>
                <w:rFonts w:hint="eastAsia" w:ascii="宋体" w:hAnsi="宋体"/>
                <w:color w:val="auto"/>
                <w:sz w:val="24"/>
                <w:highlight w:val="none"/>
              </w:rPr>
              <w:t>…</w:t>
            </w:r>
          </w:p>
        </w:tc>
        <w:tc>
          <w:tcPr>
            <w:tcW w:w="789" w:type="pct"/>
            <w:noWrap w:val="0"/>
            <w:vAlign w:val="center"/>
          </w:tcPr>
          <w:p w14:paraId="36EEE03E">
            <w:pPr>
              <w:jc w:val="center"/>
              <w:rPr>
                <w:rFonts w:hint="eastAsia" w:ascii="宋体" w:hAnsi="宋体"/>
                <w:color w:val="auto"/>
                <w:sz w:val="24"/>
                <w:highlight w:val="none"/>
              </w:rPr>
            </w:pPr>
          </w:p>
        </w:tc>
        <w:tc>
          <w:tcPr>
            <w:tcW w:w="319" w:type="pct"/>
            <w:noWrap w:val="0"/>
            <w:vAlign w:val="center"/>
          </w:tcPr>
          <w:p w14:paraId="3C51BAAE">
            <w:pPr>
              <w:jc w:val="center"/>
              <w:rPr>
                <w:rFonts w:hint="eastAsia" w:ascii="宋体" w:hAnsi="宋体"/>
                <w:color w:val="auto"/>
                <w:sz w:val="24"/>
                <w:highlight w:val="none"/>
              </w:rPr>
            </w:pPr>
          </w:p>
        </w:tc>
        <w:tc>
          <w:tcPr>
            <w:tcW w:w="419" w:type="pct"/>
            <w:noWrap w:val="0"/>
            <w:vAlign w:val="center"/>
          </w:tcPr>
          <w:p w14:paraId="185C2F2A">
            <w:pPr>
              <w:jc w:val="center"/>
              <w:rPr>
                <w:rFonts w:hint="eastAsia" w:ascii="宋体" w:hAnsi="宋体"/>
                <w:color w:val="auto"/>
                <w:sz w:val="24"/>
                <w:highlight w:val="none"/>
              </w:rPr>
            </w:pPr>
          </w:p>
        </w:tc>
        <w:tc>
          <w:tcPr>
            <w:tcW w:w="532" w:type="pct"/>
            <w:noWrap w:val="0"/>
            <w:vAlign w:val="center"/>
          </w:tcPr>
          <w:p w14:paraId="329F7029">
            <w:pPr>
              <w:pStyle w:val="2"/>
              <w:rPr>
                <w:rFonts w:hint="eastAsia" w:hAnsi="宋体"/>
                <w:color w:val="auto"/>
                <w:sz w:val="24"/>
                <w:szCs w:val="24"/>
                <w:highlight w:val="none"/>
              </w:rPr>
            </w:pPr>
          </w:p>
        </w:tc>
        <w:tc>
          <w:tcPr>
            <w:tcW w:w="415" w:type="pct"/>
            <w:noWrap w:val="0"/>
            <w:vAlign w:val="center"/>
          </w:tcPr>
          <w:p w14:paraId="5C548476">
            <w:pPr>
              <w:pStyle w:val="2"/>
              <w:rPr>
                <w:rFonts w:hint="eastAsia" w:hAnsi="宋体"/>
                <w:color w:val="auto"/>
                <w:sz w:val="24"/>
                <w:szCs w:val="24"/>
                <w:highlight w:val="none"/>
              </w:rPr>
            </w:pPr>
          </w:p>
        </w:tc>
        <w:tc>
          <w:tcPr>
            <w:tcW w:w="450" w:type="pct"/>
            <w:noWrap w:val="0"/>
            <w:vAlign w:val="center"/>
          </w:tcPr>
          <w:p w14:paraId="2CFB4CBF">
            <w:pPr>
              <w:pStyle w:val="2"/>
              <w:rPr>
                <w:rFonts w:hint="eastAsia" w:hAnsi="宋体"/>
                <w:color w:val="auto"/>
                <w:sz w:val="24"/>
                <w:szCs w:val="24"/>
                <w:highlight w:val="none"/>
              </w:rPr>
            </w:pPr>
          </w:p>
        </w:tc>
        <w:tc>
          <w:tcPr>
            <w:tcW w:w="450" w:type="pct"/>
            <w:noWrap w:val="0"/>
            <w:vAlign w:val="center"/>
          </w:tcPr>
          <w:p w14:paraId="08DDDF3C">
            <w:pPr>
              <w:pStyle w:val="2"/>
              <w:rPr>
                <w:rFonts w:hint="eastAsia" w:hAnsi="宋体"/>
                <w:color w:val="auto"/>
                <w:sz w:val="24"/>
                <w:szCs w:val="24"/>
                <w:highlight w:val="none"/>
              </w:rPr>
            </w:pPr>
          </w:p>
        </w:tc>
        <w:tc>
          <w:tcPr>
            <w:tcW w:w="435" w:type="pct"/>
            <w:noWrap w:val="0"/>
            <w:vAlign w:val="center"/>
          </w:tcPr>
          <w:p w14:paraId="4E2C445C">
            <w:pPr>
              <w:pStyle w:val="2"/>
              <w:rPr>
                <w:rFonts w:hint="eastAsia" w:hAnsi="宋体"/>
                <w:color w:val="auto"/>
                <w:sz w:val="24"/>
                <w:szCs w:val="24"/>
                <w:highlight w:val="none"/>
              </w:rPr>
            </w:pPr>
          </w:p>
        </w:tc>
        <w:tc>
          <w:tcPr>
            <w:tcW w:w="421" w:type="pct"/>
            <w:noWrap w:val="0"/>
            <w:vAlign w:val="center"/>
          </w:tcPr>
          <w:p w14:paraId="0510F162">
            <w:pPr>
              <w:pStyle w:val="2"/>
              <w:rPr>
                <w:rFonts w:hint="eastAsia" w:hAnsi="宋体"/>
                <w:color w:val="auto"/>
                <w:spacing w:val="-6"/>
                <w:sz w:val="24"/>
                <w:szCs w:val="24"/>
                <w:highlight w:val="none"/>
              </w:rPr>
            </w:pPr>
          </w:p>
        </w:tc>
        <w:tc>
          <w:tcPr>
            <w:tcW w:w="394" w:type="pct"/>
            <w:noWrap w:val="0"/>
            <w:vAlign w:val="center"/>
          </w:tcPr>
          <w:p w14:paraId="3A75966E">
            <w:pPr>
              <w:pStyle w:val="2"/>
              <w:rPr>
                <w:rFonts w:hint="eastAsia" w:hAnsi="宋体"/>
                <w:color w:val="auto"/>
                <w:spacing w:val="-6"/>
                <w:sz w:val="24"/>
                <w:szCs w:val="24"/>
                <w:highlight w:val="none"/>
              </w:rPr>
            </w:pPr>
          </w:p>
        </w:tc>
      </w:tr>
      <w:tr w14:paraId="0279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74" w:type="pct"/>
            <w:noWrap w:val="0"/>
            <w:vAlign w:val="center"/>
          </w:tcPr>
          <w:p w14:paraId="4FBC7F87">
            <w:pPr>
              <w:jc w:val="center"/>
              <w:rPr>
                <w:rFonts w:ascii="宋体" w:hAnsi="宋体"/>
                <w:color w:val="auto"/>
                <w:sz w:val="24"/>
                <w:highlight w:val="none"/>
              </w:rPr>
            </w:pPr>
            <w:r>
              <w:rPr>
                <w:rFonts w:ascii="宋体" w:hAnsi="宋体"/>
                <w:color w:val="auto"/>
                <w:sz w:val="24"/>
                <w:highlight w:val="none"/>
              </w:rPr>
              <w:t>N</w:t>
            </w:r>
          </w:p>
        </w:tc>
        <w:tc>
          <w:tcPr>
            <w:tcW w:w="789" w:type="pct"/>
            <w:noWrap w:val="0"/>
            <w:vAlign w:val="center"/>
          </w:tcPr>
          <w:p w14:paraId="0C85FC8A">
            <w:pPr>
              <w:jc w:val="center"/>
              <w:rPr>
                <w:rFonts w:hint="eastAsia" w:ascii="宋体" w:hAnsi="宋体"/>
                <w:color w:val="auto"/>
                <w:sz w:val="24"/>
                <w:highlight w:val="none"/>
              </w:rPr>
            </w:pPr>
          </w:p>
        </w:tc>
        <w:tc>
          <w:tcPr>
            <w:tcW w:w="319" w:type="pct"/>
            <w:noWrap w:val="0"/>
            <w:vAlign w:val="center"/>
          </w:tcPr>
          <w:p w14:paraId="6E3C2E6A">
            <w:pPr>
              <w:jc w:val="center"/>
              <w:rPr>
                <w:rFonts w:hint="eastAsia" w:ascii="宋体" w:hAnsi="宋体"/>
                <w:color w:val="auto"/>
                <w:sz w:val="24"/>
                <w:highlight w:val="none"/>
              </w:rPr>
            </w:pPr>
          </w:p>
        </w:tc>
        <w:tc>
          <w:tcPr>
            <w:tcW w:w="419" w:type="pct"/>
            <w:noWrap w:val="0"/>
            <w:vAlign w:val="center"/>
          </w:tcPr>
          <w:p w14:paraId="44896C11">
            <w:pPr>
              <w:jc w:val="center"/>
              <w:rPr>
                <w:rFonts w:hint="eastAsia" w:ascii="宋体" w:hAnsi="宋体"/>
                <w:color w:val="auto"/>
                <w:sz w:val="24"/>
                <w:highlight w:val="none"/>
              </w:rPr>
            </w:pPr>
          </w:p>
        </w:tc>
        <w:tc>
          <w:tcPr>
            <w:tcW w:w="532" w:type="pct"/>
            <w:noWrap w:val="0"/>
            <w:vAlign w:val="center"/>
          </w:tcPr>
          <w:p w14:paraId="1E8BB1C3">
            <w:pPr>
              <w:pStyle w:val="2"/>
              <w:rPr>
                <w:rFonts w:hint="eastAsia" w:hAnsi="宋体"/>
                <w:color w:val="auto"/>
                <w:sz w:val="24"/>
                <w:szCs w:val="24"/>
                <w:highlight w:val="none"/>
              </w:rPr>
            </w:pPr>
          </w:p>
        </w:tc>
        <w:tc>
          <w:tcPr>
            <w:tcW w:w="415" w:type="pct"/>
            <w:noWrap w:val="0"/>
            <w:vAlign w:val="center"/>
          </w:tcPr>
          <w:p w14:paraId="3853E0CF">
            <w:pPr>
              <w:pStyle w:val="2"/>
              <w:rPr>
                <w:rFonts w:hint="eastAsia" w:hAnsi="宋体"/>
                <w:color w:val="auto"/>
                <w:sz w:val="24"/>
                <w:szCs w:val="24"/>
                <w:highlight w:val="none"/>
              </w:rPr>
            </w:pPr>
          </w:p>
        </w:tc>
        <w:tc>
          <w:tcPr>
            <w:tcW w:w="450" w:type="pct"/>
            <w:noWrap w:val="0"/>
            <w:vAlign w:val="center"/>
          </w:tcPr>
          <w:p w14:paraId="3C0C18F9">
            <w:pPr>
              <w:pStyle w:val="2"/>
              <w:rPr>
                <w:rFonts w:hint="eastAsia" w:hAnsi="宋体"/>
                <w:color w:val="auto"/>
                <w:sz w:val="24"/>
                <w:szCs w:val="24"/>
                <w:highlight w:val="none"/>
              </w:rPr>
            </w:pPr>
          </w:p>
        </w:tc>
        <w:tc>
          <w:tcPr>
            <w:tcW w:w="450" w:type="pct"/>
            <w:noWrap w:val="0"/>
            <w:vAlign w:val="center"/>
          </w:tcPr>
          <w:p w14:paraId="48DA8B64">
            <w:pPr>
              <w:pStyle w:val="2"/>
              <w:rPr>
                <w:rFonts w:hint="eastAsia" w:hAnsi="宋体"/>
                <w:color w:val="auto"/>
                <w:sz w:val="24"/>
                <w:szCs w:val="24"/>
                <w:highlight w:val="none"/>
              </w:rPr>
            </w:pPr>
          </w:p>
        </w:tc>
        <w:tc>
          <w:tcPr>
            <w:tcW w:w="435" w:type="pct"/>
            <w:noWrap w:val="0"/>
            <w:vAlign w:val="center"/>
          </w:tcPr>
          <w:p w14:paraId="7B525052">
            <w:pPr>
              <w:pStyle w:val="2"/>
              <w:rPr>
                <w:rFonts w:hint="eastAsia" w:hAnsi="宋体"/>
                <w:color w:val="auto"/>
                <w:sz w:val="24"/>
                <w:szCs w:val="24"/>
                <w:highlight w:val="none"/>
              </w:rPr>
            </w:pPr>
          </w:p>
        </w:tc>
        <w:tc>
          <w:tcPr>
            <w:tcW w:w="421" w:type="pct"/>
            <w:noWrap w:val="0"/>
            <w:vAlign w:val="center"/>
          </w:tcPr>
          <w:p w14:paraId="2CFCD93E">
            <w:pPr>
              <w:pStyle w:val="2"/>
              <w:rPr>
                <w:rFonts w:hint="eastAsia" w:hAnsi="宋体"/>
                <w:color w:val="auto"/>
                <w:spacing w:val="-6"/>
                <w:sz w:val="24"/>
                <w:szCs w:val="24"/>
                <w:highlight w:val="none"/>
              </w:rPr>
            </w:pPr>
          </w:p>
        </w:tc>
        <w:tc>
          <w:tcPr>
            <w:tcW w:w="394" w:type="pct"/>
            <w:noWrap w:val="0"/>
            <w:vAlign w:val="center"/>
          </w:tcPr>
          <w:p w14:paraId="0484A85A">
            <w:pPr>
              <w:pStyle w:val="2"/>
              <w:rPr>
                <w:rFonts w:hint="eastAsia" w:hAnsi="宋体"/>
                <w:color w:val="auto"/>
                <w:spacing w:val="-6"/>
                <w:sz w:val="24"/>
                <w:szCs w:val="24"/>
                <w:highlight w:val="none"/>
              </w:rPr>
            </w:pPr>
          </w:p>
        </w:tc>
      </w:tr>
      <w:tr w14:paraId="1FD6D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74" w:type="pct"/>
            <w:noWrap w:val="0"/>
            <w:vAlign w:val="center"/>
          </w:tcPr>
          <w:p w14:paraId="64AB915F">
            <w:pPr>
              <w:tabs>
                <w:tab w:val="left" w:pos="480"/>
              </w:tabs>
              <w:spacing w:line="360" w:lineRule="auto"/>
              <w:jc w:val="center"/>
              <w:rPr>
                <w:rFonts w:ascii="宋体" w:hAnsi="宋体"/>
                <w:color w:val="auto"/>
                <w:sz w:val="24"/>
                <w:highlight w:val="none"/>
              </w:rPr>
            </w:pPr>
            <w:r>
              <w:rPr>
                <w:rFonts w:hint="eastAsia" w:ascii="宋体" w:hAnsi="宋体" w:eastAsia="宋体" w:cs="宋体"/>
                <w:sz w:val="24"/>
                <w:szCs w:val="24"/>
              </w:rPr>
              <w:t>说明</w:t>
            </w:r>
          </w:p>
        </w:tc>
        <w:tc>
          <w:tcPr>
            <w:tcW w:w="4625" w:type="pct"/>
            <w:gridSpan w:val="10"/>
            <w:noWrap w:val="0"/>
            <w:vAlign w:val="center"/>
          </w:tcPr>
          <w:p w14:paraId="4413779B">
            <w:pPr>
              <w:tabs>
                <w:tab w:val="left" w:pos="480"/>
              </w:tabs>
              <w:spacing w:line="360" w:lineRule="auto"/>
              <w:jc w:val="center"/>
              <w:rPr>
                <w:rFonts w:hint="eastAsia" w:hAnsi="宋体"/>
                <w:color w:val="auto"/>
                <w:spacing w:val="-6"/>
                <w:sz w:val="24"/>
                <w:szCs w:val="24"/>
                <w:highlight w:val="none"/>
              </w:rPr>
            </w:pPr>
          </w:p>
        </w:tc>
      </w:tr>
    </w:tbl>
    <w:p w14:paraId="0800652D">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72" w:firstLineChars="196"/>
        <w:textAlignment w:val="auto"/>
        <w:rPr>
          <w:rFonts w:hint="eastAsia" w:ascii="宋体" w:hAnsi="宋体" w:eastAsia="宋体" w:cs="宋体"/>
          <w:b/>
          <w:sz w:val="24"/>
          <w:szCs w:val="24"/>
        </w:rPr>
      </w:pPr>
      <w:r>
        <w:rPr>
          <w:rFonts w:hint="eastAsia" w:ascii="宋体" w:hAnsi="宋体" w:eastAsia="宋体" w:cs="宋体"/>
          <w:b/>
          <w:sz w:val="24"/>
          <w:szCs w:val="24"/>
        </w:rPr>
        <w:t>二、合同价款</w:t>
      </w:r>
    </w:p>
    <w:p w14:paraId="150C9047">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（一）合同总价款为人民币（大写）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元整（￥</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92C687D">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（二）合同总价包括：</w:t>
      </w:r>
      <w:r>
        <w:rPr>
          <w:rFonts w:hint="eastAsia" w:ascii="宋体" w:hAnsi="宋体" w:eastAsia="宋体" w:cs="宋体"/>
          <w:sz w:val="24"/>
          <w:szCs w:val="24"/>
          <w:lang w:val="en-US" w:eastAsia="zh-CN"/>
        </w:rPr>
        <w:t>本合同为固定总价合同，合同价款包括货物价款、包装费、运杂费（含仓储费、装卸费、保险费）、安装调试费、设备零部件和备品备件、易损件、专用工具的费用、培训费、税金及其它不可预见费用。</w:t>
      </w:r>
      <w:r>
        <w:rPr>
          <w:rFonts w:hint="eastAsia" w:ascii="宋体" w:hAnsi="宋体" w:eastAsia="宋体" w:cs="宋体"/>
          <w:sz w:val="24"/>
          <w:szCs w:val="24"/>
        </w:rPr>
        <w:t>合同总价一次性包死，</w:t>
      </w:r>
      <w:r>
        <w:rPr>
          <w:rFonts w:hint="eastAsia" w:ascii="宋体" w:hAnsi="宋体" w:eastAsia="宋体" w:cs="宋体"/>
          <w:sz w:val="24"/>
          <w:szCs w:val="24"/>
          <w:lang w:val="en-US" w:eastAsia="zh-CN"/>
        </w:rPr>
        <w:t>任何错报、漏报由投标人自行负责，合同</w:t>
      </w:r>
      <w:bookmarkStart w:id="0" w:name="_GoBack"/>
      <w:bookmarkEnd w:id="0"/>
      <w:r>
        <w:rPr>
          <w:rFonts w:hint="eastAsia" w:ascii="宋体" w:hAnsi="宋体" w:eastAsia="宋体" w:cs="宋体"/>
          <w:sz w:val="24"/>
          <w:szCs w:val="24"/>
          <w:lang w:val="en-US" w:eastAsia="zh-CN"/>
        </w:rPr>
        <w:t>有效期内该价格不因任何因素变化而调整。</w:t>
      </w:r>
    </w:p>
    <w:p w14:paraId="1DB9331D">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三、款项结算</w:t>
      </w:r>
    </w:p>
    <w:p w14:paraId="6DAD9B9D">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（一）分期付款（合同签订后，达到付款条件起30日内，支付合同总金额的30.00%；货物交付完成并安装验收合格后，达到付款条件起30日内，支付合同总金额的70.00%）</w:t>
      </w:r>
      <w:r>
        <w:rPr>
          <w:rFonts w:hint="eastAsia" w:ascii="宋体" w:hAnsi="宋体" w:eastAsia="宋体" w:cs="宋体"/>
          <w:sz w:val="24"/>
          <w:szCs w:val="24"/>
          <w:lang w:val="en-US" w:eastAsia="en-US"/>
        </w:rPr>
        <w:t>。</w:t>
      </w:r>
    </w:p>
    <w:p w14:paraId="13E48CB5">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（二）支付方式：银行转帐。</w:t>
      </w:r>
    </w:p>
    <w:p w14:paraId="06AE7B90">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乙方确认以下信息为收款信息：</w:t>
      </w:r>
    </w:p>
    <w:p w14:paraId="62EF2995">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开户名：</w:t>
      </w:r>
    </w:p>
    <w:p w14:paraId="7B11ED54">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开户行：</w:t>
      </w:r>
    </w:p>
    <w:p w14:paraId="584E8CDB">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账号：</w:t>
      </w:r>
    </w:p>
    <w:p w14:paraId="75FAAF4D">
      <w:pPr>
        <w:spacing w:after="0"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付款依据：满足付款条件的情况下，乙方应向甲方出具书面付款通知（注明开户行及账户信息）以及符合国家财税规定的增值税发票，及经采购人确认的送货清单，否则甲方有权延迟履行付款义务。如因乙方缘故（如开具增值税发票延误等）导致甲方无法按时付款，甲方不承担违约责任。</w:t>
      </w:r>
    </w:p>
    <w:p w14:paraId="320C8678">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四、双方的权利和义务</w:t>
      </w:r>
    </w:p>
    <w:p w14:paraId="705FAB54">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（一）甲方的权利和义务</w:t>
      </w:r>
    </w:p>
    <w:p w14:paraId="45535F31">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甲方权利：组织使用单位严格按照招标文件及投标文件要求和标准验收货物。</w:t>
      </w:r>
    </w:p>
    <w:p w14:paraId="54C392D5">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甲方义务：积极配合乙方开展验收、安装、调试等工作。</w:t>
      </w:r>
    </w:p>
    <w:p w14:paraId="7F08E166">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（二）乙方的权利和义务</w:t>
      </w:r>
    </w:p>
    <w:p w14:paraId="315ACD68">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乙方权利：按照合同约定要求甲方及时付款。</w:t>
      </w:r>
    </w:p>
    <w:p w14:paraId="1618DF46">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乙方义务：按照合同约定时间，按甲方指定地点提供货物，配合验收工作，并负责安装、调试、提供现场技术培训，保证使用人员正常操作设备的各种功能。</w:t>
      </w:r>
    </w:p>
    <w:p w14:paraId="72B6CA87">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五、</w:t>
      </w:r>
      <w:r>
        <w:rPr>
          <w:rFonts w:hint="eastAsia" w:ascii="宋体" w:hAnsi="宋体" w:eastAsia="宋体" w:cs="宋体"/>
          <w:b/>
          <w:bCs/>
          <w:sz w:val="24"/>
          <w:szCs w:val="24"/>
          <w:lang w:eastAsia="zh-CN"/>
        </w:rPr>
        <w:t>交付条件</w:t>
      </w:r>
    </w:p>
    <w:p w14:paraId="1995433A">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（一）交</w:t>
      </w:r>
      <w:r>
        <w:rPr>
          <w:rFonts w:hint="eastAsia" w:hAnsi="宋体" w:eastAsia="宋体" w:cs="宋体"/>
          <w:sz w:val="24"/>
          <w:szCs w:val="24"/>
          <w:lang w:eastAsia="zh-CN"/>
        </w:rPr>
        <w:t>货</w:t>
      </w:r>
      <w:r>
        <w:rPr>
          <w:rFonts w:hint="eastAsia" w:ascii="宋体" w:hAnsi="宋体" w:eastAsia="宋体" w:cs="宋体"/>
          <w:sz w:val="24"/>
          <w:szCs w:val="24"/>
        </w:rPr>
        <w:t>地点：甲方指定地点。</w:t>
      </w:r>
    </w:p>
    <w:p w14:paraId="7B921495">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lang w:eastAsia="zh-CN"/>
        </w:rPr>
        <w:t>交付期</w:t>
      </w:r>
      <w:r>
        <w:rPr>
          <w:rFonts w:hint="eastAsia" w:ascii="宋体" w:hAnsi="宋体" w:eastAsia="宋体" w:cs="宋体"/>
          <w:sz w:val="24"/>
          <w:szCs w:val="24"/>
        </w:rPr>
        <w:t>： 合同签订后 30 日历天内供货</w:t>
      </w:r>
      <w:r>
        <w:rPr>
          <w:rFonts w:hint="eastAsia" w:ascii="宋体" w:hAnsi="宋体" w:eastAsia="宋体" w:cs="宋体"/>
          <w:sz w:val="24"/>
          <w:szCs w:val="24"/>
          <w:lang w:val="en-US" w:eastAsia="zh-CN"/>
        </w:rPr>
        <w:t>完成</w:t>
      </w:r>
    </w:p>
    <w:p w14:paraId="3496616B">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六、运输</w:t>
      </w:r>
    </w:p>
    <w:p w14:paraId="783F5DCA">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（一）运输由乙方负责，运杂费已包含在合同总价内，包括从货物供应地点所含的运</w:t>
      </w:r>
      <w:r>
        <w:rPr>
          <w:rFonts w:hint="eastAsia" w:ascii="宋体" w:hAnsi="宋体" w:eastAsia="宋体" w:cs="宋体"/>
          <w:sz w:val="24"/>
          <w:szCs w:val="24"/>
          <w:lang w:eastAsia="zh-CN"/>
        </w:rPr>
        <w:t>杂</w:t>
      </w:r>
      <w:r>
        <w:rPr>
          <w:rFonts w:hint="eastAsia" w:ascii="宋体" w:hAnsi="宋体" w:eastAsia="宋体" w:cs="宋体"/>
          <w:sz w:val="24"/>
          <w:szCs w:val="24"/>
        </w:rPr>
        <w:t>费</w:t>
      </w:r>
      <w:r>
        <w:rPr>
          <w:rFonts w:hint="eastAsia" w:ascii="宋体" w:hAnsi="宋体" w:eastAsia="宋体" w:cs="宋体"/>
          <w:sz w:val="24"/>
          <w:szCs w:val="24"/>
          <w:lang w:eastAsia="zh-CN"/>
        </w:rPr>
        <w:t>（含</w:t>
      </w:r>
      <w:r>
        <w:rPr>
          <w:rFonts w:hint="eastAsia" w:ascii="宋体" w:hAnsi="宋体" w:eastAsia="宋体" w:cs="宋体"/>
          <w:sz w:val="24"/>
          <w:szCs w:val="24"/>
        </w:rPr>
        <w:t>仓储费、装卸费、保险费</w:t>
      </w:r>
      <w:r>
        <w:rPr>
          <w:rFonts w:hint="eastAsia" w:ascii="宋体" w:hAnsi="宋体" w:eastAsia="宋体" w:cs="宋体"/>
          <w:sz w:val="24"/>
          <w:szCs w:val="24"/>
          <w:lang w:eastAsia="zh-CN"/>
        </w:rPr>
        <w:t>）</w:t>
      </w:r>
      <w:r>
        <w:rPr>
          <w:rFonts w:hint="eastAsia" w:ascii="宋体" w:hAnsi="宋体" w:eastAsia="宋体" w:cs="宋体"/>
          <w:sz w:val="24"/>
          <w:szCs w:val="24"/>
        </w:rPr>
        <w:t>。</w:t>
      </w:r>
    </w:p>
    <w:p w14:paraId="58901C71">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（二）运输方式由乙方自行选择，但必须保证按期</w:t>
      </w:r>
      <w:r>
        <w:rPr>
          <w:rFonts w:hint="eastAsia" w:ascii="宋体" w:hAnsi="宋体" w:eastAsia="宋体" w:cs="宋体"/>
          <w:sz w:val="24"/>
          <w:szCs w:val="24"/>
          <w:lang w:eastAsia="zh-CN"/>
        </w:rPr>
        <w:t>交付</w:t>
      </w:r>
      <w:r>
        <w:rPr>
          <w:rFonts w:hint="eastAsia" w:ascii="宋体" w:hAnsi="宋体" w:eastAsia="宋体" w:cs="宋体"/>
          <w:sz w:val="24"/>
          <w:szCs w:val="24"/>
        </w:rPr>
        <w:t>。</w:t>
      </w:r>
    </w:p>
    <w:p w14:paraId="5B43DFAE">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（三）因运输产生的一切风险及质量问题均由乙方承担。</w:t>
      </w:r>
    </w:p>
    <w:p w14:paraId="35F3EFDB">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七、质量保证</w:t>
      </w:r>
    </w:p>
    <w:p w14:paraId="1B4FF76D">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乙方所供货物必须执行下列条款：</w:t>
      </w:r>
    </w:p>
    <w:p w14:paraId="793F1165">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（一）保证技术指标先进、质量性能可靠、进货渠道正常，配置合理，全面满足</w:t>
      </w:r>
      <w:r>
        <w:rPr>
          <w:rFonts w:hint="eastAsia" w:ascii="宋体" w:hAnsi="宋体" w:eastAsia="宋体" w:cs="宋体"/>
          <w:sz w:val="24"/>
          <w:szCs w:val="24"/>
          <w:lang w:eastAsia="zh-CN"/>
        </w:rPr>
        <w:t>采购</w:t>
      </w:r>
      <w:r>
        <w:rPr>
          <w:rFonts w:hint="eastAsia" w:ascii="宋体" w:hAnsi="宋体" w:eastAsia="宋体" w:cs="宋体"/>
          <w:sz w:val="24"/>
          <w:szCs w:val="24"/>
        </w:rPr>
        <w:t>要求。</w:t>
      </w:r>
    </w:p>
    <w:p w14:paraId="0527A2CD">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（二）符合国家有关规范要求，确保达到最佳运行状态。</w:t>
      </w:r>
    </w:p>
    <w:p w14:paraId="4F8012D2">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（三）具有良好的外观，适合安装场所的使用。</w:t>
      </w:r>
    </w:p>
    <w:p w14:paraId="57E198AC">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w:t>
      </w:r>
      <w:r>
        <w:rPr>
          <w:rFonts w:hint="eastAsia" w:ascii="宋体" w:hAnsi="宋体" w:eastAsia="宋体" w:cs="宋体"/>
          <w:sz w:val="24"/>
          <w:szCs w:val="24"/>
          <w:highlight w:val="none"/>
          <w:lang w:val="en-US" w:eastAsia="zh-CN"/>
        </w:rPr>
        <w:t>验收合格</w:t>
      </w:r>
      <w:r>
        <w:rPr>
          <w:rFonts w:hint="eastAsia" w:ascii="宋体" w:hAnsi="宋体" w:eastAsia="宋体" w:cs="宋体"/>
          <w:sz w:val="24"/>
          <w:szCs w:val="24"/>
          <w:highlight w:val="none"/>
          <w:lang w:eastAsia="zh-CN"/>
        </w:rPr>
        <w:t>之日起</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年质保。</w:t>
      </w:r>
    </w:p>
    <w:p w14:paraId="7BE57A2D">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免费保修期内，同一主要部件出现质量问题经过两次维修后仍无法正常使用，可以更换同型号、同规格的全新产品，服务响应时间不超过2小时，对问题较大短期内暂不能解决的，为不影响甲方正常工作，乙方在2日内免费提供替代产品，确保正常运行，由此产生的费用由乙方承担；</w:t>
      </w:r>
    </w:p>
    <w:p w14:paraId="2893938D">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30天内，如出现质量问题，可以选择换货或退货；</w:t>
      </w:r>
    </w:p>
    <w:p w14:paraId="452EC475">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30至60天内，如出现质量问题，可选择换货。</w:t>
      </w:r>
    </w:p>
    <w:p w14:paraId="02BA35E6">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（五）设备保修期内因产品质量或设计缺陷等问题，而发生的医疗差错或医疗纠纷由乙方及生产厂商负全部责任。由此给甲方造成损失的，乙方应负责全额赔偿。</w:t>
      </w:r>
    </w:p>
    <w:p w14:paraId="5BEE1263">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（六）保证设备后期可与甲方各类信息化网络系统免费无缝链接。</w:t>
      </w:r>
    </w:p>
    <w:p w14:paraId="4FA1322B">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八、售后服务</w:t>
      </w:r>
    </w:p>
    <w:p w14:paraId="1EC04348">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乙方所供货物提供以下售后服务：</w:t>
      </w:r>
    </w:p>
    <w:p w14:paraId="55CFC481">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（一）质保期内：</w:t>
      </w:r>
    </w:p>
    <w:p w14:paraId="1593A3C1">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发生质量问题，接到甲方通知后，应于2小时内派出专业的维修人员到现场进行检测维修，发生的全部费用由乙方承担，若需送回生产厂，乙方承担往返费用；</w:t>
      </w:r>
    </w:p>
    <w:p w14:paraId="114CDA38">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定期派技术人员到现场走访，给予检查维护，一年不少于2次；</w:t>
      </w:r>
    </w:p>
    <w:p w14:paraId="17DEC46E">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排除故障的期限不得超过48小时。否则甲方有权指定第三方维修，维修费用由乙方承担。甲方有权直接从质保金中扣除，质保金已付或不足以支付全部维修费用的，由乙方另行支付。</w:t>
      </w:r>
    </w:p>
    <w:p w14:paraId="0B6125AB">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（二）质保期结束前，进行系统测试，全面保养维护，确保正常运行。</w:t>
      </w:r>
    </w:p>
    <w:p w14:paraId="4E455C66">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sz w:val="24"/>
          <w:szCs w:val="24"/>
          <w:highlight w:val="none"/>
        </w:rPr>
        <w:t>）根据《医疗器械使用质量监督管理办法》（18号令）</w:t>
      </w:r>
      <w:r>
        <w:rPr>
          <w:rFonts w:hint="eastAsia" w:ascii="宋体" w:hAnsi="宋体" w:eastAsia="宋体" w:cs="宋体"/>
          <w:sz w:val="24"/>
          <w:szCs w:val="24"/>
          <w:highlight w:val="none"/>
          <w:lang w:eastAsia="zh-CN"/>
        </w:rPr>
        <w:t>第十七条</w:t>
      </w:r>
      <w:r>
        <w:rPr>
          <w:rFonts w:hint="eastAsia" w:ascii="宋体" w:hAnsi="宋体" w:eastAsia="宋体" w:cs="宋体"/>
          <w:sz w:val="24"/>
          <w:szCs w:val="24"/>
          <w:highlight w:val="none"/>
        </w:rPr>
        <w:t>规</w:t>
      </w:r>
      <w:r>
        <w:rPr>
          <w:rFonts w:hint="eastAsia" w:ascii="宋体" w:hAnsi="宋体" w:eastAsia="宋体" w:cs="宋体"/>
          <w:sz w:val="24"/>
          <w:szCs w:val="24"/>
        </w:rPr>
        <w:t>定，甲方有权委托维修服务机构或者自行对在用医疗器械进行维护维修，乙方应终身免费提供维护手册、维修手册、软件备份、故障代码表、备件清单、零部件、维修密码等维护维修必须的材料和信息。</w:t>
      </w:r>
    </w:p>
    <w:p w14:paraId="377EE099">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九、技术与服务</w:t>
      </w:r>
    </w:p>
    <w:p w14:paraId="7DD7B2E0">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（一）技术资料：</w:t>
      </w:r>
    </w:p>
    <w:p w14:paraId="47E48FBD">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货物合格证；</w:t>
      </w:r>
    </w:p>
    <w:p w14:paraId="28D82285">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货物使用说明书（中文）；</w:t>
      </w:r>
    </w:p>
    <w:p w14:paraId="515F6D3C">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项目</w:t>
      </w:r>
      <w:r>
        <w:rPr>
          <w:rFonts w:hint="eastAsia" w:ascii="宋体" w:hAnsi="宋体" w:eastAsia="宋体" w:cs="宋体"/>
          <w:sz w:val="24"/>
          <w:szCs w:val="24"/>
          <w:highlight w:val="none"/>
          <w:lang w:eastAsia="zh-CN"/>
        </w:rPr>
        <w:t>交付</w:t>
      </w:r>
      <w:r>
        <w:rPr>
          <w:rFonts w:hint="eastAsia" w:ascii="宋体" w:hAnsi="宋体" w:eastAsia="宋体" w:cs="宋体"/>
          <w:sz w:val="24"/>
          <w:szCs w:val="24"/>
          <w:highlight w:val="none"/>
        </w:rPr>
        <w:t>资料、检验测试报告；</w:t>
      </w:r>
    </w:p>
    <w:p w14:paraId="680E0BB1">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其它资料</w:t>
      </w:r>
      <w:r>
        <w:rPr>
          <w:rFonts w:hint="eastAsia" w:ascii="宋体" w:hAnsi="宋体" w:eastAsia="宋体" w:cs="宋体"/>
          <w:sz w:val="24"/>
          <w:szCs w:val="24"/>
        </w:rPr>
        <w:t>。</w:t>
      </w:r>
    </w:p>
    <w:p w14:paraId="7B6A32C3">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（二）服务承诺：以投标文件、澄清表（函）、合同和随货物的相关文件为准。</w:t>
      </w:r>
    </w:p>
    <w:p w14:paraId="273284F6">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（三）培训：乙方须在设备安装调试完成后对甲方操作人员进行完整使用、保养等培训，是否完成培训视为货物验收必备条件之一。</w:t>
      </w:r>
    </w:p>
    <w:p w14:paraId="3A6931CE">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十、验收</w:t>
      </w:r>
    </w:p>
    <w:p w14:paraId="03D6E419">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验收由甲方组织，乙方配合进行：</w:t>
      </w:r>
    </w:p>
    <w:p w14:paraId="2A9F1735">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（一）货物安装、调试并正常运行后，由乙方进行自检，合格后能够正常使用时书面通知甲方，甲方在收到乙方书面通知后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七</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日内</w:t>
      </w:r>
      <w:r>
        <w:rPr>
          <w:rFonts w:hint="eastAsia" w:ascii="宋体" w:hAnsi="宋体" w:eastAsia="宋体" w:cs="宋体"/>
          <w:sz w:val="24"/>
          <w:szCs w:val="24"/>
          <w:highlight w:val="none"/>
        </w:rPr>
        <w:t>初步验收。初步验收合格后，进入一周试用期；试用期间发生重大质量问题，按照合同条款第七条第四款（2）处理，如更换货物，试用期相应顺延；试用期结束后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七</w:t>
      </w:r>
      <w:r>
        <w:rPr>
          <w:rFonts w:hint="eastAsia" w:ascii="宋体" w:hAnsi="宋体" w:eastAsia="宋体" w:cs="宋体"/>
          <w:sz w:val="24"/>
          <w:szCs w:val="24"/>
          <w:highlight w:val="none"/>
          <w:u w:val="none"/>
        </w:rPr>
        <w:t xml:space="preserve"> 日内</w:t>
      </w:r>
      <w:r>
        <w:rPr>
          <w:rFonts w:hint="eastAsia" w:ascii="宋体" w:hAnsi="宋体" w:eastAsia="宋体" w:cs="宋体"/>
          <w:sz w:val="24"/>
          <w:szCs w:val="24"/>
          <w:highlight w:val="none"/>
        </w:rPr>
        <w:t>完成最终验收；</w:t>
      </w:r>
    </w:p>
    <w:p w14:paraId="3AEC7610">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7B39DE19">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验收时如发现所交付的货物有缺项、次品、损坏或其它不符合标准及本合同约定之情形者，甲方应做出详尽的现场记录，记录形式包括摄像、拍照、乙方证明人的说明，并由甲乙双方签署备忘录，此现场记录或备忘录可用作补充缺失和更换损坏部件和更换符合要求的整机之有效证据，由此产生的时间延误与相关费用由乙方承担，验收期限相应顺延；</w:t>
      </w:r>
    </w:p>
    <w:p w14:paraId="75854387">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（四）乙方向甲方提交货物实施过程中的所有资料以便甲方日后管理和维护。</w:t>
      </w:r>
    </w:p>
    <w:p w14:paraId="26AA04A2">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（五）甲方确认乙方的自检内容后，组织乙方（必要时请有关专家）进行系统验收，验收合格后，填写项目验收单（一式叁份）作为对货物的最终认可。</w:t>
      </w:r>
    </w:p>
    <w:p w14:paraId="72670A7E">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（六）验收依据：</w:t>
      </w:r>
    </w:p>
    <w:p w14:paraId="6E721297">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招标文件、投标文件、澄清表（函）；</w:t>
      </w:r>
    </w:p>
    <w:p w14:paraId="166DD86E">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本合同及附件文本；</w:t>
      </w:r>
    </w:p>
    <w:p w14:paraId="112F29AD">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国家相应的标准、规范。</w:t>
      </w:r>
    </w:p>
    <w:p w14:paraId="6D091CD5">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十一、违约责任</w:t>
      </w:r>
    </w:p>
    <w:p w14:paraId="4ABD2F2D">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（一）双方按《中华人民共和国政府采购法》、《中华人民共和国民法典》中的相关条款执行。</w:t>
      </w:r>
    </w:p>
    <w:p w14:paraId="5CB0D917">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（二）未按合同要求提供货物或质量不能满足</w:t>
      </w:r>
      <w:r>
        <w:rPr>
          <w:rFonts w:hint="eastAsia" w:ascii="宋体" w:hAnsi="宋体" w:eastAsia="宋体" w:cs="宋体"/>
          <w:sz w:val="24"/>
          <w:szCs w:val="24"/>
          <w:lang w:eastAsia="zh-CN"/>
        </w:rPr>
        <w:t>采购</w:t>
      </w:r>
      <w:r>
        <w:rPr>
          <w:rFonts w:hint="eastAsia" w:ascii="宋体" w:hAnsi="宋体" w:eastAsia="宋体" w:cs="宋体"/>
          <w:sz w:val="24"/>
          <w:szCs w:val="24"/>
        </w:rPr>
        <w:t>技术要求，乙方必须无条件更换，提高技术，完善质量，否则，甲方有权终止合同，合同自书面解除通知到达乙方之日起解除，甲方有权按照以下两种方式同时追究乙方违约责任</w:t>
      </w:r>
      <w:r>
        <w:rPr>
          <w:rFonts w:hint="eastAsia" w:ascii="宋体" w:hAnsi="宋体" w:eastAsia="宋体" w:cs="宋体"/>
          <w:sz w:val="24"/>
          <w:szCs w:val="24"/>
          <w:lang w:eastAsia="zh-CN"/>
        </w:rPr>
        <w:t>：</w:t>
      </w: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乙方赔偿甲方解除合同的全部损失（包括但不限于重新采购产生的费用、合同未履行导致设备不能按规划交付使用可能产生的租赁费用及其他由此造成的甲方对第三方的违约损失）；2</w:t>
      </w:r>
      <w:r>
        <w:rPr>
          <w:rFonts w:hint="eastAsia" w:ascii="宋体" w:hAnsi="宋体" w:eastAsia="宋体" w:cs="宋体"/>
          <w:sz w:val="24"/>
          <w:szCs w:val="24"/>
          <w:lang w:val="en-US" w:eastAsia="zh-CN"/>
        </w:rPr>
        <w:t>.</w:t>
      </w:r>
      <w:r>
        <w:rPr>
          <w:rFonts w:hint="eastAsia" w:ascii="宋体" w:hAnsi="宋体" w:eastAsia="宋体" w:cs="宋体"/>
          <w:sz w:val="24"/>
          <w:szCs w:val="24"/>
        </w:rPr>
        <w:t>乙方支付甲方违约金，违约金计算方法：以合同总价为基数，支付甲方合同总额的30%违约金。同时甲方有权对乙方的违约行为报监管机构进行相应的处罚。</w:t>
      </w:r>
    </w:p>
    <w:p w14:paraId="24911743">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乙方交付的货物质量不符合合同约定的，乙方应向甲方支付合同总价的30%的违约金，同时须在合同约定的交货时间内更换合格的货物给甲方，否则，视作乙方不能交付货物而违约，按本条本款第“（二）”款约定由乙方承担违约责任。</w:t>
      </w:r>
    </w:p>
    <w:p w14:paraId="24E4652E">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乙方不能交付货物或逾期交付货物而违约的，除应及时交足货物外，同时向甲方偿付逾期交货部分货款总额的千分之二/天的违约金；逾期交货超过10天，甲方有权解除合同，合同自书面解除通知到达乙方之日起解除，乙方赔偿甲方解除合同的全部损失（包括但不限于重新采购产生的费用、合同未履行导致设备不能按规划交付使用可能产生的租赁费用及其他由此造成的甲方对第三方的违约损失），乙方则应按合同总价的30%向甲方支付违约金，并须全额退还甲方已经付给乙方的货款及其利息，同时甲方有权将乙方违约事宜上报至财政监督管理部门备案。</w:t>
      </w:r>
    </w:p>
    <w:p w14:paraId="58E857DA">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十二、合同争议解决的方式</w:t>
      </w:r>
    </w:p>
    <w:p w14:paraId="6080DC51">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14:paraId="7F219964">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十三、合同生效</w:t>
      </w:r>
    </w:p>
    <w:p w14:paraId="04B6B872">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本合同一式</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份，甲方</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份，乙方</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份，均具有同等法律效力。本合同经甲、乙各方签字盖章后生效，合同执行完毕后，自动失效（合同的服务承诺则长期有效）。</w:t>
      </w:r>
    </w:p>
    <w:p w14:paraId="66444F7F">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十四、其他事项</w:t>
      </w:r>
    </w:p>
    <w:p w14:paraId="7A2A4A22">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hAnsi="宋体" w:eastAsia="宋体" w:cs="宋体"/>
          <w:sz w:val="24"/>
          <w:szCs w:val="24"/>
          <w:lang w:eastAsia="zh-CN"/>
        </w:rPr>
        <w:t>一</w:t>
      </w:r>
      <w:r>
        <w:rPr>
          <w:rFonts w:hint="eastAsia" w:ascii="宋体" w:hAnsi="宋体" w:eastAsia="宋体" w:cs="宋体"/>
          <w:sz w:val="24"/>
          <w:szCs w:val="24"/>
        </w:rPr>
        <w:t>）</w:t>
      </w:r>
      <w:r>
        <w:rPr>
          <w:rFonts w:hint="eastAsia" w:ascii="宋体" w:hAnsi="宋体" w:eastAsia="宋体" w:cs="宋体"/>
          <w:sz w:val="24"/>
          <w:szCs w:val="24"/>
          <w:lang w:val="en-US" w:eastAsia="zh-CN"/>
        </w:rPr>
        <w:t>政府采购管理部门</w:t>
      </w:r>
      <w:r>
        <w:rPr>
          <w:rFonts w:hint="eastAsia" w:ascii="宋体" w:hAnsi="宋体" w:eastAsia="宋体" w:cs="宋体"/>
          <w:sz w:val="24"/>
          <w:szCs w:val="24"/>
        </w:rPr>
        <w:t>在合同的履行期间以及履行期后，可以随时检查项目的执行情况，对采购内容、标准进行调查核实，并对发现的问题进行处理。</w:t>
      </w:r>
    </w:p>
    <w:p w14:paraId="20224DC6">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hAnsi="宋体" w:eastAsia="宋体" w:cs="宋体"/>
          <w:sz w:val="24"/>
          <w:szCs w:val="24"/>
          <w:lang w:eastAsia="zh-CN"/>
        </w:rPr>
        <w:t>二</w:t>
      </w:r>
      <w:r>
        <w:rPr>
          <w:rFonts w:hint="eastAsia" w:ascii="宋体" w:hAnsi="宋体" w:eastAsia="宋体" w:cs="宋体"/>
          <w:sz w:val="24"/>
          <w:szCs w:val="24"/>
        </w:rPr>
        <w:t>）招标文件、投标文件、澄清表（函）、中标通知书、合同附件均成为合同不可分割的部分，与本合同具有同等法律效力。</w:t>
      </w:r>
    </w:p>
    <w:p w14:paraId="1214DCCB">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hAnsi="宋体" w:eastAsia="宋体" w:cs="宋体"/>
          <w:sz w:val="24"/>
          <w:szCs w:val="24"/>
          <w:highlight w:val="none"/>
          <w:lang w:eastAsia="zh-CN"/>
        </w:rPr>
        <w:t>三</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3F73BFDB">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hAnsi="宋体" w:eastAsia="宋体" w:cs="宋体"/>
          <w:sz w:val="24"/>
          <w:szCs w:val="24"/>
          <w:lang w:eastAsia="zh-CN"/>
        </w:rPr>
        <w:t>四</w:t>
      </w:r>
      <w:r>
        <w:rPr>
          <w:rFonts w:hint="eastAsia" w:ascii="宋体" w:hAnsi="宋体" w:eastAsia="宋体" w:cs="宋体"/>
          <w:sz w:val="24"/>
          <w:szCs w:val="24"/>
        </w:rPr>
        <w:t>）合同未尽事宜，由甲、乙双方协商，确认后签订补充协议，作为合同补充，补充协议与原合同具有同等法律效力。补充协议与原合同约定不一致的，以补充协议为准。</w:t>
      </w:r>
    </w:p>
    <w:p w14:paraId="15D349B7">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hAnsi="宋体" w:eastAsia="宋体" w:cs="宋体"/>
          <w:sz w:val="24"/>
          <w:szCs w:val="24"/>
          <w:lang w:eastAsia="zh-CN"/>
        </w:rPr>
        <w:t>五</w:t>
      </w:r>
      <w:r>
        <w:rPr>
          <w:rFonts w:hint="eastAsia" w:ascii="宋体" w:hAnsi="宋体" w:eastAsia="宋体" w:cs="宋体"/>
          <w:sz w:val="24"/>
          <w:szCs w:val="24"/>
        </w:rPr>
        <w:t>）合同一经签订，不得擅自变更、解除或终止合同。对确需变更、解除、终止合同的，应按规定履行相应的手续。</w:t>
      </w:r>
    </w:p>
    <w:p w14:paraId="6B4E8FA2">
      <w:pPr>
        <w:keepNext w:val="0"/>
        <w:keepLines w:val="0"/>
        <w:pageBreakBefore w:val="0"/>
        <w:widowControl/>
        <w:tabs>
          <w:tab w:val="left" w:pos="480"/>
        </w:tabs>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（六）</w:t>
      </w:r>
      <w:r>
        <w:rPr>
          <w:rFonts w:hint="eastAsia" w:ascii="宋体" w:hAnsi="宋体" w:eastAsia="宋体" w:cs="宋体"/>
          <w:sz w:val="24"/>
          <w:szCs w:val="24"/>
        </w:rPr>
        <w:t>本合同按照中华人民共和国的现行法律进行解释。</w:t>
      </w:r>
    </w:p>
    <w:tbl>
      <w:tblPr>
        <w:tblStyle w:val="3"/>
        <w:tblpPr w:leftFromText="180" w:rightFromText="180" w:vertAnchor="text" w:horzAnchor="page" w:tblpXSpec="center" w:tblpY="1176"/>
        <w:tblOverlap w:val="never"/>
        <w:tblW w:w="0" w:type="auto"/>
        <w:jc w:val="center"/>
        <w:tblLayout w:type="fixed"/>
        <w:tblCellMar>
          <w:top w:w="0" w:type="dxa"/>
          <w:left w:w="108" w:type="dxa"/>
          <w:bottom w:w="0" w:type="dxa"/>
          <w:right w:w="108" w:type="dxa"/>
        </w:tblCellMar>
      </w:tblPr>
      <w:tblGrid>
        <w:gridCol w:w="4201"/>
        <w:gridCol w:w="4202"/>
      </w:tblGrid>
      <w:tr w14:paraId="5439E817">
        <w:tblPrEx>
          <w:tblCellMar>
            <w:top w:w="0" w:type="dxa"/>
            <w:left w:w="108" w:type="dxa"/>
            <w:bottom w:w="0" w:type="dxa"/>
            <w:right w:w="108" w:type="dxa"/>
          </w:tblCellMar>
        </w:tblPrEx>
        <w:trPr>
          <w:trHeight w:val="484" w:hRule="exact"/>
          <w:jc w:val="center"/>
        </w:trPr>
        <w:tc>
          <w:tcPr>
            <w:tcW w:w="4201" w:type="dxa"/>
            <w:noWrap w:val="0"/>
            <w:vAlign w:val="center"/>
          </w:tcPr>
          <w:p w14:paraId="61B65AAA">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甲方</w:t>
            </w:r>
          </w:p>
        </w:tc>
        <w:tc>
          <w:tcPr>
            <w:tcW w:w="4202" w:type="dxa"/>
            <w:noWrap w:val="0"/>
            <w:vAlign w:val="center"/>
          </w:tcPr>
          <w:p w14:paraId="0167E5F4">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乙方</w:t>
            </w:r>
          </w:p>
        </w:tc>
      </w:tr>
      <w:tr w14:paraId="27CFE0AA">
        <w:tblPrEx>
          <w:tblCellMar>
            <w:top w:w="0" w:type="dxa"/>
            <w:left w:w="108" w:type="dxa"/>
            <w:bottom w:w="0" w:type="dxa"/>
            <w:right w:w="108" w:type="dxa"/>
          </w:tblCellMar>
        </w:tblPrEx>
        <w:trPr>
          <w:trHeight w:val="467" w:hRule="exact"/>
          <w:jc w:val="center"/>
        </w:trPr>
        <w:tc>
          <w:tcPr>
            <w:tcW w:w="4201" w:type="dxa"/>
            <w:noWrap w:val="0"/>
            <w:vAlign w:val="center"/>
          </w:tcPr>
          <w:p w14:paraId="682351A9">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（盖章）</w:t>
            </w:r>
          </w:p>
        </w:tc>
        <w:tc>
          <w:tcPr>
            <w:tcW w:w="4202" w:type="dxa"/>
            <w:noWrap w:val="0"/>
            <w:vAlign w:val="center"/>
          </w:tcPr>
          <w:p w14:paraId="159050B5">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（盖章）</w:t>
            </w:r>
          </w:p>
        </w:tc>
      </w:tr>
      <w:tr w14:paraId="37FA8EDD">
        <w:tblPrEx>
          <w:tblCellMar>
            <w:top w:w="0" w:type="dxa"/>
            <w:left w:w="108" w:type="dxa"/>
            <w:bottom w:w="0" w:type="dxa"/>
            <w:right w:w="108" w:type="dxa"/>
          </w:tblCellMar>
        </w:tblPrEx>
        <w:trPr>
          <w:trHeight w:val="501" w:hRule="exact"/>
          <w:jc w:val="center"/>
        </w:trPr>
        <w:tc>
          <w:tcPr>
            <w:tcW w:w="4201" w:type="dxa"/>
            <w:noWrap w:val="0"/>
            <w:vAlign w:val="center"/>
          </w:tcPr>
          <w:p w14:paraId="37FECAA3">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地址：</w:t>
            </w:r>
          </w:p>
        </w:tc>
        <w:tc>
          <w:tcPr>
            <w:tcW w:w="4202" w:type="dxa"/>
            <w:noWrap w:val="0"/>
            <w:vAlign w:val="center"/>
          </w:tcPr>
          <w:p w14:paraId="0622C6A9">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地址：</w:t>
            </w:r>
          </w:p>
        </w:tc>
      </w:tr>
      <w:tr w14:paraId="54079E88">
        <w:tblPrEx>
          <w:tblCellMar>
            <w:top w:w="0" w:type="dxa"/>
            <w:left w:w="108" w:type="dxa"/>
            <w:bottom w:w="0" w:type="dxa"/>
            <w:right w:w="108" w:type="dxa"/>
          </w:tblCellMar>
        </w:tblPrEx>
        <w:trPr>
          <w:trHeight w:val="450" w:hRule="exact"/>
          <w:jc w:val="center"/>
        </w:trPr>
        <w:tc>
          <w:tcPr>
            <w:tcW w:w="4201" w:type="dxa"/>
            <w:noWrap w:val="0"/>
            <w:vAlign w:val="center"/>
          </w:tcPr>
          <w:p w14:paraId="4D10D8B1">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邮编：</w:t>
            </w:r>
          </w:p>
        </w:tc>
        <w:tc>
          <w:tcPr>
            <w:tcW w:w="4202" w:type="dxa"/>
            <w:noWrap w:val="0"/>
            <w:vAlign w:val="center"/>
          </w:tcPr>
          <w:p w14:paraId="703C8CE4">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邮编：</w:t>
            </w:r>
          </w:p>
        </w:tc>
      </w:tr>
      <w:tr w14:paraId="6C547238">
        <w:tblPrEx>
          <w:tblCellMar>
            <w:top w:w="0" w:type="dxa"/>
            <w:left w:w="108" w:type="dxa"/>
            <w:bottom w:w="0" w:type="dxa"/>
            <w:right w:w="108" w:type="dxa"/>
          </w:tblCellMar>
        </w:tblPrEx>
        <w:trPr>
          <w:trHeight w:val="533" w:hRule="exact"/>
          <w:jc w:val="center"/>
        </w:trPr>
        <w:tc>
          <w:tcPr>
            <w:tcW w:w="4201" w:type="dxa"/>
            <w:noWrap w:val="0"/>
            <w:vAlign w:val="center"/>
          </w:tcPr>
          <w:p w14:paraId="3713DCC4">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法定代表人：</w:t>
            </w:r>
          </w:p>
        </w:tc>
        <w:tc>
          <w:tcPr>
            <w:tcW w:w="4202" w:type="dxa"/>
            <w:noWrap w:val="0"/>
            <w:vAlign w:val="center"/>
          </w:tcPr>
          <w:p w14:paraId="4734589C">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法定代表人：</w:t>
            </w:r>
          </w:p>
        </w:tc>
      </w:tr>
      <w:tr w14:paraId="0F5B08C6">
        <w:tblPrEx>
          <w:tblCellMar>
            <w:top w:w="0" w:type="dxa"/>
            <w:left w:w="108" w:type="dxa"/>
            <w:bottom w:w="0" w:type="dxa"/>
            <w:right w:w="108" w:type="dxa"/>
          </w:tblCellMar>
        </w:tblPrEx>
        <w:trPr>
          <w:trHeight w:val="533" w:hRule="exact"/>
          <w:jc w:val="center"/>
        </w:trPr>
        <w:tc>
          <w:tcPr>
            <w:tcW w:w="4201" w:type="dxa"/>
            <w:noWrap w:val="0"/>
            <w:vAlign w:val="center"/>
          </w:tcPr>
          <w:p w14:paraId="17B900A0">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委托代理人：</w:t>
            </w:r>
          </w:p>
        </w:tc>
        <w:tc>
          <w:tcPr>
            <w:tcW w:w="4202" w:type="dxa"/>
            <w:noWrap w:val="0"/>
            <w:vAlign w:val="center"/>
          </w:tcPr>
          <w:p w14:paraId="47AEB009">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委托代理人：</w:t>
            </w:r>
          </w:p>
        </w:tc>
      </w:tr>
      <w:tr w14:paraId="4397A266">
        <w:tblPrEx>
          <w:tblCellMar>
            <w:top w:w="0" w:type="dxa"/>
            <w:left w:w="108" w:type="dxa"/>
            <w:bottom w:w="0" w:type="dxa"/>
            <w:right w:w="108" w:type="dxa"/>
          </w:tblCellMar>
        </w:tblPrEx>
        <w:trPr>
          <w:trHeight w:val="500" w:hRule="exact"/>
          <w:jc w:val="center"/>
        </w:trPr>
        <w:tc>
          <w:tcPr>
            <w:tcW w:w="4201" w:type="dxa"/>
            <w:noWrap w:val="0"/>
            <w:vAlign w:val="center"/>
          </w:tcPr>
          <w:p w14:paraId="3CE32662">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w:t>
            </w:r>
          </w:p>
        </w:tc>
        <w:tc>
          <w:tcPr>
            <w:tcW w:w="4202" w:type="dxa"/>
            <w:noWrap w:val="0"/>
            <w:vAlign w:val="center"/>
          </w:tcPr>
          <w:p w14:paraId="2FB61916">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w:t>
            </w:r>
          </w:p>
        </w:tc>
      </w:tr>
      <w:tr w14:paraId="7FD9BE25">
        <w:tblPrEx>
          <w:tblCellMar>
            <w:top w:w="0" w:type="dxa"/>
            <w:left w:w="108" w:type="dxa"/>
            <w:bottom w:w="0" w:type="dxa"/>
            <w:right w:w="108" w:type="dxa"/>
          </w:tblCellMar>
        </w:tblPrEx>
        <w:trPr>
          <w:trHeight w:val="467" w:hRule="exact"/>
          <w:jc w:val="center"/>
        </w:trPr>
        <w:tc>
          <w:tcPr>
            <w:tcW w:w="4201" w:type="dxa"/>
            <w:noWrap w:val="0"/>
            <w:vAlign w:val="center"/>
          </w:tcPr>
          <w:p w14:paraId="04792ACC">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传真：</w:t>
            </w:r>
          </w:p>
        </w:tc>
        <w:tc>
          <w:tcPr>
            <w:tcW w:w="4202" w:type="dxa"/>
            <w:noWrap w:val="0"/>
            <w:vAlign w:val="center"/>
          </w:tcPr>
          <w:p w14:paraId="016874D5">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传真：</w:t>
            </w:r>
          </w:p>
        </w:tc>
      </w:tr>
      <w:tr w14:paraId="5149F607">
        <w:tblPrEx>
          <w:tblCellMar>
            <w:top w:w="0" w:type="dxa"/>
            <w:left w:w="108" w:type="dxa"/>
            <w:bottom w:w="0" w:type="dxa"/>
            <w:right w:w="108" w:type="dxa"/>
          </w:tblCellMar>
        </w:tblPrEx>
        <w:trPr>
          <w:trHeight w:val="567" w:hRule="exact"/>
          <w:jc w:val="center"/>
        </w:trPr>
        <w:tc>
          <w:tcPr>
            <w:tcW w:w="4201" w:type="dxa"/>
            <w:noWrap w:val="0"/>
            <w:vAlign w:val="center"/>
          </w:tcPr>
          <w:p w14:paraId="17E94803">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w:t>
            </w:r>
          </w:p>
        </w:tc>
        <w:tc>
          <w:tcPr>
            <w:tcW w:w="4202" w:type="dxa"/>
            <w:noWrap w:val="0"/>
            <w:vAlign w:val="center"/>
          </w:tcPr>
          <w:p w14:paraId="5988FC1B">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w:t>
            </w:r>
          </w:p>
        </w:tc>
      </w:tr>
      <w:tr w14:paraId="71D49751">
        <w:tblPrEx>
          <w:tblCellMar>
            <w:top w:w="0" w:type="dxa"/>
            <w:left w:w="108" w:type="dxa"/>
            <w:bottom w:w="0" w:type="dxa"/>
            <w:right w:w="108" w:type="dxa"/>
          </w:tblCellMar>
        </w:tblPrEx>
        <w:trPr>
          <w:trHeight w:val="567" w:hRule="exact"/>
          <w:jc w:val="center"/>
        </w:trPr>
        <w:tc>
          <w:tcPr>
            <w:tcW w:w="4201" w:type="dxa"/>
            <w:noWrap w:val="0"/>
            <w:vAlign w:val="center"/>
          </w:tcPr>
          <w:p w14:paraId="6C97B54D">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日期：</w:t>
            </w:r>
          </w:p>
        </w:tc>
        <w:tc>
          <w:tcPr>
            <w:tcW w:w="4202" w:type="dxa"/>
            <w:noWrap w:val="0"/>
            <w:vAlign w:val="center"/>
          </w:tcPr>
          <w:p w14:paraId="43F2C3F6">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日期：</w:t>
            </w:r>
          </w:p>
        </w:tc>
      </w:tr>
    </w:tbl>
    <w:p w14:paraId="256505F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103AA"/>
    <w:rsid w:val="1D9512C5"/>
    <w:rsid w:val="351D2701"/>
    <w:rsid w:val="4B884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宋体"/>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3779</Words>
  <Characters>3820</Characters>
  <Lines>0</Lines>
  <Paragraphs>0</Paragraphs>
  <TotalTime>2</TotalTime>
  <ScaleCrop>false</ScaleCrop>
  <LinksUpToDate>false</LinksUpToDate>
  <CharactersWithSpaces>3982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2026-03-09T06:29:00Z</dcterms:created>
  <dc:creator>Administrator</dc:creator>
  <cp:lastModifiedBy>bling  bling</cp:lastModifiedBy>
  <dcterms:modified xsi:type="dcterms:W3CDTF">2026-03-10T06:54:33Z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eyJoZGlkIjoiMzUzNjhhZjUxY2NjNTcxNGZjMDRiMDVmOGViYmM1NTYiLCJ1c2VySWQiOiI1NTAzMTkyMTcifQ==</vt:lpwstr>
  </property>
  <property fmtid="{D5CDD505-2E9C-101B-9397-08002B2CF9AE}" pid="4" name="ICV">
    <vt:lpwstr>4FB6A8CB57EC4E80934C72974735746F_12</vt:lpwstr>
  </property>
</Properties>
</file>