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版本号：HSGJ2026-11520260310001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残疾人托养和照护服务项目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HSGJ2026-115</w:t>
      </w:r>
      <w:r>
        <w:br/>
      </w:r>
      <w:r>
        <w:br/>
      </w:r>
      <w:r>
        <w:br/>
      </w:r>
    </w:p>
    <w:p>
      <w:pPr>
        <w:pStyle w:val="null3"/>
        <w:jc w:val="center"/>
        <w:outlineLvl w:val="2"/>
      </w:pPr>
      <w:r>
        <w:rPr>
          <w:rFonts w:ascii="仿宋_GB2312" w:hAnsi="仿宋_GB2312" w:cs="仿宋_GB2312" w:eastAsia="仿宋_GB2312"/>
          <w:sz w:val="28"/>
          <w:b/>
        </w:rPr>
        <w:t>白水县残疾人联合会</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白水县残疾人联合会</w:t>
      </w:r>
      <w:r>
        <w:rPr>
          <w:rFonts w:ascii="仿宋_GB2312" w:hAnsi="仿宋_GB2312" w:cs="仿宋_GB2312" w:eastAsia="仿宋_GB2312"/>
        </w:rPr>
        <w:t>委托，拟对</w:t>
      </w:r>
      <w:r>
        <w:rPr>
          <w:rFonts w:ascii="仿宋_GB2312" w:hAnsi="仿宋_GB2312" w:cs="仿宋_GB2312" w:eastAsia="仿宋_GB2312"/>
        </w:rPr>
        <w:t>残疾人托养和照护服务项目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残疾人托养和照护服务项目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残疾人托养和照护服务项目，具体内容详见第三章。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10、关联关系：单位负责人为同一人或者存在直接控股、管理关系的不同供应商不得参加同一合同项下的政府采购活动；为本项目提供整体设计、规范编制或者项目管理、监理、检测等服务的供应商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白水县一马路东巷口1号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0913-6125987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转账事由：HSGJ2026-115项目代理服务费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白水县残疾人联合会</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残疾人托养和照护服务项目，具体内容详见第三章。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残疾人托养和照护服务项目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残疾人托养和照护服务项目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w:t>
            </w:r>
            <w:r>
              <w:rPr>
                <w:rFonts w:ascii="仿宋_GB2312" w:hAnsi="仿宋_GB2312" w:cs="仿宋_GB2312" w:eastAsia="仿宋_GB2312"/>
                <w:sz w:val="24"/>
                <w:b/>
              </w:rPr>
              <w:t>内容及要求：</w:t>
            </w:r>
          </w:p>
          <w:tbl>
            <w:tblPr>
              <w:tblInd w:type="dxa" w:w="120"/>
              <w:tblBorders>
                <w:top w:val="none" w:color="000000" w:sz="4"/>
                <w:left w:val="none" w:color="000000" w:sz="4"/>
                <w:bottom w:val="none" w:color="000000" w:sz="4"/>
                <w:right w:val="none" w:color="000000" w:sz="4"/>
                <w:insideH w:val="none"/>
                <w:insideV w:val="none"/>
              </w:tblBorders>
            </w:tblPr>
            <w:tblGrid>
              <w:gridCol w:w="133"/>
              <w:gridCol w:w="339"/>
              <w:gridCol w:w="492"/>
              <w:gridCol w:w="1397"/>
            </w:tblGrid>
            <w:tr>
              <w:tc>
                <w:tcPr>
                  <w:tcW w:type="dxa" w:w="133"/>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序号</w:t>
                  </w:r>
                </w:p>
              </w:tc>
              <w:tc>
                <w:tcPr>
                  <w:tcW w:type="dxa" w:w="339"/>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服务</w:t>
                  </w:r>
                  <w:r>
                    <w:rPr>
                      <w:rFonts w:ascii="仿宋_GB2312" w:hAnsi="仿宋_GB2312" w:cs="仿宋_GB2312" w:eastAsia="仿宋_GB2312"/>
                      <w:sz w:val="24"/>
                      <w:b/>
                    </w:rPr>
                    <w:t>项目</w:t>
                  </w:r>
                </w:p>
              </w:tc>
              <w:tc>
                <w:tcPr>
                  <w:tcW w:type="dxa" w:w="49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服务</w:t>
                  </w:r>
                  <w:r>
                    <w:rPr>
                      <w:rFonts w:ascii="仿宋_GB2312" w:hAnsi="仿宋_GB2312" w:cs="仿宋_GB2312" w:eastAsia="仿宋_GB2312"/>
                      <w:sz w:val="24"/>
                      <w:b/>
                    </w:rPr>
                    <w:t>内容</w:t>
                  </w:r>
                </w:p>
              </w:tc>
              <w:tc>
                <w:tcPr>
                  <w:tcW w:type="dxa" w:w="13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b/>
                    </w:rPr>
                    <w:t>服务</w:t>
                  </w:r>
                  <w:r>
                    <w:rPr>
                      <w:rFonts w:ascii="仿宋_GB2312" w:hAnsi="仿宋_GB2312" w:cs="仿宋_GB2312" w:eastAsia="仿宋_GB2312"/>
                      <w:sz w:val="24"/>
                      <w:b/>
                    </w:rPr>
                    <w:t>要求</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1</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健康评估</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体</w:t>
                  </w:r>
                  <w:r>
                    <w:rPr>
                      <w:rFonts w:ascii="仿宋_GB2312" w:hAnsi="仿宋_GB2312" w:cs="仿宋_GB2312" w:eastAsia="仿宋_GB2312"/>
                      <w:sz w:val="24"/>
                    </w:rPr>
                    <w:t xml:space="preserve">  </w:t>
                  </w:r>
                  <w:r>
                    <w:rPr>
                      <w:rFonts w:ascii="仿宋_GB2312" w:hAnsi="仿宋_GB2312" w:cs="仿宋_GB2312" w:eastAsia="仿宋_GB2312"/>
                      <w:sz w:val="24"/>
                    </w:rPr>
                    <w:t>检</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血常规、尿常规、血脂六项、肝功十一项，肾功</w:t>
                  </w:r>
                  <w:r>
                    <w:rPr>
                      <w:rFonts w:ascii="仿宋_GB2312" w:hAnsi="仿宋_GB2312" w:cs="仿宋_GB2312" w:eastAsia="仿宋_GB2312"/>
                      <w:sz w:val="24"/>
                    </w:rPr>
                    <w:t>四</w:t>
                  </w:r>
                  <w:r>
                    <w:rPr>
                      <w:rFonts w:ascii="仿宋_GB2312" w:hAnsi="仿宋_GB2312" w:cs="仿宋_GB2312" w:eastAsia="仿宋_GB2312"/>
                      <w:sz w:val="24"/>
                    </w:rPr>
                    <w:t>项、心电图、</w:t>
                  </w:r>
                  <w:r>
                    <w:rPr>
                      <w:rFonts w:ascii="仿宋_GB2312" w:hAnsi="仿宋_GB2312" w:cs="仿宋_GB2312" w:eastAsia="仿宋_GB2312"/>
                      <w:sz w:val="24"/>
                    </w:rPr>
                    <w:t>胸部</w:t>
                  </w:r>
                  <w:r>
                    <w:rPr>
                      <w:rFonts w:ascii="仿宋_GB2312" w:hAnsi="仿宋_GB2312" w:cs="仿宋_GB2312" w:eastAsia="仿宋_GB2312"/>
                      <w:sz w:val="24"/>
                    </w:rPr>
                    <w:t>DR</w:t>
                  </w:r>
                  <w:r>
                    <w:rPr>
                      <w:rFonts w:ascii="仿宋_GB2312" w:hAnsi="仿宋_GB2312" w:cs="仿宋_GB2312" w:eastAsia="仿宋_GB2312"/>
                      <w:sz w:val="24"/>
                    </w:rPr>
                    <w:t>、</w:t>
                  </w:r>
                  <w:r>
                    <w:rPr>
                      <w:rFonts w:ascii="仿宋_GB2312" w:hAnsi="仿宋_GB2312" w:cs="仿宋_GB2312" w:eastAsia="仿宋_GB2312"/>
                      <w:sz w:val="24"/>
                    </w:rPr>
                    <w:t>B超</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2</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生活照料与护理</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饮食和供应水的供应服务；起居服务和卫生服务；合理特殊服务；户外活动；定期健康监测服务。</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1、为服务对象提供膳食和饮用水服务，提供、加餐、助餐、等服务。2、指导服务对象剪指甲、洗头、洗脚。穿脱衣物等起居服务。指导服务对象床铺整理、室内清洁等卫生服务。</w:t>
                  </w:r>
                  <w:r>
                    <w:rPr>
                      <w:rFonts w:ascii="仿宋_GB2312" w:hAnsi="仿宋_GB2312" w:cs="仿宋_GB2312" w:eastAsia="仿宋_GB2312"/>
                      <w:sz w:val="24"/>
                    </w:rPr>
                    <w:t>3</w:t>
                  </w:r>
                  <w:r>
                    <w:rPr>
                      <w:rFonts w:ascii="仿宋_GB2312" w:hAnsi="仿宋_GB2312" w:cs="仿宋_GB2312" w:eastAsia="仿宋_GB2312"/>
                      <w:sz w:val="24"/>
                    </w:rPr>
                    <w:t>、协助服务对象进行每天不少于</w:t>
                  </w:r>
                  <w:r>
                    <w:rPr>
                      <w:rFonts w:ascii="仿宋_GB2312" w:hAnsi="仿宋_GB2312" w:cs="仿宋_GB2312" w:eastAsia="仿宋_GB2312"/>
                      <w:sz w:val="24"/>
                    </w:rPr>
                    <w:t>40分钟的户外活动。</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根据服务对象情况定期进行健康监测服务。</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3</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生活自理能力训练</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自我照顾能力训练和室内外移动能力训练；家务劳动能力训练；生活自理相关技能训练和知识培训。</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对有需求的服务对象指导洗漱、饮食、穿脱衣物、进食等自我照顾能力和行走、上下楼梯等室内移动生活自理能力训练。2、进行清洁卫生、饮食料理等生活自理劳动能力训练。3、提供清洗衣物、整理房间、公共场所卫生清洁服务等技能培训，健康教育、自我护理知识培训。</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4</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社会适应能力培养</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社会行为准则和常识教育，沟通能力和沟通技巧培训；社会适应技能培训；文体娱乐活动。</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提供基本礼仪、人际关系、两性知识等社会行为准则和常识教育，提供社会沟通能力、沟通技巧培训；2、提供模拟和真实场景的社会适应能力训练，提供购买、存款、打车、求助等知识和技能培训。3、提供教育培训、图书阅览、上网和收看、收听电视广播等服务。4、开展人际交往能力提升和兴趣培养的文体娱乐活动。</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5</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运动训练</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运动功能训练；运动功能评估</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1、指导服务对象规范使用辅助器具，帮助其身体运动功能恢复或代偿；2、开展运动功能评估，调整训练计划，选择核实的训练方法，确定恰当的运动量，对服务对象监护人进行运动功能训练的培训。</w:t>
                  </w:r>
                </w:p>
              </w:tc>
            </w:tr>
            <w:tr>
              <w:tc>
                <w:tcPr>
                  <w:tcW w:type="dxa" w:w="13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6</w:t>
                  </w:r>
                </w:p>
              </w:tc>
              <w:tc>
                <w:tcPr>
                  <w:tcW w:type="dxa" w:w="33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rPr>
                    <w:t>职业康复与劳动技能训练</w:t>
                  </w:r>
                </w:p>
              </w:tc>
              <w:tc>
                <w:tcPr>
                  <w:tcW w:type="dxa" w:w="49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就业能力评估，训练其职业技能；职业康复训练，就业辅助和支持性服务。</w:t>
                  </w:r>
                </w:p>
              </w:tc>
              <w:tc>
                <w:tcPr>
                  <w:tcW w:type="dxa" w:w="139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rPr>
                    <w:t>开展生活自理能力和社会适应能力评估，制定相应的职业康复和劳动技能训练计划，开展与服务对象行为能力相适应的基本生产劳动，通过劳动技能培训，开发服务对象的职业能力。</w:t>
                  </w:r>
                </w:p>
              </w:tc>
            </w:tr>
          </w:tbl>
          <w:p>
            <w:pPr>
              <w:pStyle w:val="null3"/>
            </w:pPr>
            <w:r>
              <w:rPr>
                <w:rFonts w:ascii="仿宋_GB2312" w:hAnsi="仿宋_GB2312" w:cs="仿宋_GB2312" w:eastAsia="仿宋_GB2312"/>
                <w:sz w:val="24"/>
                <w:b/>
              </w:rPr>
              <w:t>二、服务对象人数：</w:t>
            </w:r>
            <w:r>
              <w:rPr>
                <w:rFonts w:ascii="仿宋_GB2312" w:hAnsi="仿宋_GB2312" w:cs="仿宋_GB2312" w:eastAsia="仿宋_GB2312"/>
                <w:sz w:val="24"/>
              </w:rPr>
              <w:t>80人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在服务期完成后，根据照护工作进展情况、工作完成情况，并经采购人验收合格后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（1）服务范围：残疾人托养和照护服务项目；（2）服务要求：满足采购需求及磋商文件要求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5服务方案.docx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1分项报价表.docx 标的清单 2服务要求响应表.docx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 实施方案内容得当、措施全面、合理可行、项目针对性强得15分； 实施方案内容符合要求，内容全面、针对性较强得12分；实施方案内容较全面、针对性较强得10分；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生活照料和护理方案</w:t>
            </w:r>
          </w:p>
        </w:tc>
        <w:tc>
          <w:tcPr>
            <w:tcW w:type="dxa" w:w="2492"/>
          </w:tcPr>
          <w:p>
            <w:pPr>
              <w:pStyle w:val="null3"/>
            </w:pPr>
            <w:r>
              <w:rPr>
                <w:rFonts w:ascii="仿宋_GB2312" w:hAnsi="仿宋_GB2312" w:cs="仿宋_GB2312" w:eastAsia="仿宋_GB2312"/>
              </w:rPr>
              <w:t>根据项目实际需求制定生活照料和护理方案。 方案内容详尽、科学、合理，可行性强得10分；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生活自理能力训练方案</w:t>
            </w:r>
          </w:p>
        </w:tc>
        <w:tc>
          <w:tcPr>
            <w:tcW w:type="dxa" w:w="2492"/>
          </w:tcPr>
          <w:p>
            <w:pPr>
              <w:pStyle w:val="null3"/>
            </w:pPr>
            <w:r>
              <w:rPr>
                <w:rFonts w:ascii="仿宋_GB2312" w:hAnsi="仿宋_GB2312" w:cs="仿宋_GB2312" w:eastAsia="仿宋_GB2312"/>
              </w:rPr>
              <w:t>根据项目实际需求制定生活自理能力训练方案。方案内容详尽、科学、合理，可行性强得10分；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社会适应能力辅导方案</w:t>
            </w:r>
          </w:p>
        </w:tc>
        <w:tc>
          <w:tcPr>
            <w:tcW w:type="dxa" w:w="2492"/>
          </w:tcPr>
          <w:p>
            <w:pPr>
              <w:pStyle w:val="null3"/>
            </w:pPr>
            <w:r>
              <w:rPr>
                <w:rFonts w:ascii="仿宋_GB2312" w:hAnsi="仿宋_GB2312" w:cs="仿宋_GB2312" w:eastAsia="仿宋_GB2312"/>
              </w:rPr>
              <w:t>根据项目实际需求制定社会适应能力辅导方案。 方案内容详尽、科学、合理，可行性强得10分；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运动功能训练方案</w:t>
            </w:r>
          </w:p>
        </w:tc>
        <w:tc>
          <w:tcPr>
            <w:tcW w:type="dxa" w:w="2492"/>
          </w:tcPr>
          <w:p>
            <w:pPr>
              <w:pStyle w:val="null3"/>
            </w:pPr>
            <w:r>
              <w:rPr>
                <w:rFonts w:ascii="仿宋_GB2312" w:hAnsi="仿宋_GB2312" w:cs="仿宋_GB2312" w:eastAsia="仿宋_GB2312"/>
              </w:rPr>
              <w:t>根据项目实际需求制定运动功能训练方案。方案内容详尽、科学、合理，可行性强得10分；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职业康复与劳动技能训练方案</w:t>
            </w:r>
          </w:p>
        </w:tc>
        <w:tc>
          <w:tcPr>
            <w:tcW w:type="dxa" w:w="2492"/>
          </w:tcPr>
          <w:p>
            <w:pPr>
              <w:pStyle w:val="null3"/>
            </w:pPr>
            <w:r>
              <w:rPr>
                <w:rFonts w:ascii="仿宋_GB2312" w:hAnsi="仿宋_GB2312" w:cs="仿宋_GB2312" w:eastAsia="仿宋_GB2312"/>
              </w:rPr>
              <w:t>根据项目实际需求制定职业康复与劳动技能训练方案。方案内容详尽、科学、合理，可行性强得10分；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供应商根据本项目提供的拟投入整体团队人员 分工明确、配置合理，经验丰富，专业性强得10分；分工较明确、配置较合理、经验较丰富得7分；分工基本明确、配置基本合理得4分；分工混乱、部分满足采购要求得2分；未提供不得分。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管理制度及考核办法</w:t>
            </w:r>
          </w:p>
        </w:tc>
        <w:tc>
          <w:tcPr>
            <w:tcW w:type="dxa" w:w="2492"/>
          </w:tcPr>
          <w:p>
            <w:pPr>
              <w:pStyle w:val="null3"/>
            </w:pPr>
            <w:r>
              <w:rPr>
                <w:rFonts w:ascii="仿宋_GB2312" w:hAnsi="仿宋_GB2312" w:cs="仿宋_GB2312" w:eastAsia="仿宋_GB2312"/>
              </w:rPr>
              <w:t>供应商提供管理制度及考核办法等。 制度清晰可行得5分；制度较清晰、考核办法较可行得3分，制度基本清晰、考核办法基本可行得2分；制度混乱、考核办法内容空泛得1分；未提供不得分。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供应商提供2023年1月1日至今（以合同签订时间为准）类似业绩，每份得2分，最高得10分。 注：需提供合同（包含合同首页、关键内容页及签署页）复印件并加盖本单位公章有效证明文件。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 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报价得分=（评标基准价/有效报价）×价格权重（10%）×100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